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740" w:rsidRPr="00211740" w:rsidRDefault="00211740" w:rsidP="00211740">
      <w:pPr>
        <w:pBdr>
          <w:bottom w:val="single" w:sz="8" w:space="4" w:color="4F81BD"/>
        </w:pBdr>
        <w:spacing w:after="300" w:line="240" w:lineRule="auto"/>
        <w:contextualSpacing/>
        <w:rPr>
          <w:rFonts w:ascii="Cambria" w:eastAsia="Times New Roman" w:hAnsi="Cambria" w:cs="Times New Roman"/>
          <w:color w:val="17365D"/>
          <w:spacing w:val="5"/>
          <w:kern w:val="28"/>
          <w:sz w:val="52"/>
          <w:szCs w:val="52"/>
          <w:lang w:val="en-GB" w:eastAsia="en-US"/>
        </w:rPr>
      </w:pPr>
      <w:r w:rsidRPr="00211740">
        <w:rPr>
          <w:rFonts w:ascii="Cambria" w:eastAsia="Times New Roman" w:hAnsi="Cambria" w:cs="Times New Roman"/>
          <w:color w:val="17365D"/>
          <w:spacing w:val="5"/>
          <w:kern w:val="28"/>
          <w:sz w:val="52"/>
          <w:szCs w:val="52"/>
          <w:lang w:val="en-GB" w:eastAsia="en-US"/>
        </w:rPr>
        <w:t xml:space="preserve">Consultation questions </w:t>
      </w:r>
    </w:p>
    <w:p w:rsidR="00211740" w:rsidRPr="00211740" w:rsidRDefault="00211740" w:rsidP="00211740">
      <w:pPr>
        <w:spacing w:after="200"/>
        <w:rPr>
          <w:rFonts w:ascii="Calibri" w:eastAsia="Calibri" w:hAnsi="Calibri" w:cs="Times New Roman"/>
          <w:i/>
          <w:color w:val="1F497D"/>
          <w:sz w:val="22"/>
          <w:lang w:val="en-GB" w:eastAsia="en-US"/>
        </w:rPr>
      </w:pPr>
      <w:r w:rsidRPr="00211740">
        <w:rPr>
          <w:rFonts w:ascii="Calibri" w:eastAsia="Calibri" w:hAnsi="Calibri" w:cs="Times New Roman"/>
          <w:i/>
          <w:color w:val="1F497D"/>
          <w:sz w:val="22"/>
          <w:lang w:val="en-GB" w:eastAsia="en-US"/>
        </w:rPr>
        <w:t xml:space="preserve">In responding to the public consultation, please specify whether the answer is general or whether it is related to a specific bidding zones (please specify which one). Wherever possible, please justify your opinion with qualitative or quantitative arguments or some references. In particular, we welcome any comments on the following questions: </w:t>
      </w:r>
    </w:p>
    <w:p w:rsidR="00FD5056" w:rsidRPr="00FD5056" w:rsidRDefault="00FD5056" w:rsidP="00211740">
      <w:pPr>
        <w:spacing w:after="200"/>
        <w:rPr>
          <w:rFonts w:ascii="Calibri" w:eastAsia="Calibri" w:hAnsi="Calibri" w:cs="Times New Roman"/>
          <w:b/>
          <w:sz w:val="22"/>
          <w:u w:val="single"/>
          <w:lang w:val="en-GB" w:eastAsia="en-US"/>
        </w:rPr>
      </w:pPr>
      <w:r w:rsidRPr="00FD5056">
        <w:rPr>
          <w:rFonts w:ascii="Calibri" w:eastAsia="Calibri" w:hAnsi="Calibri" w:cs="Times New Roman"/>
          <w:b/>
          <w:sz w:val="22"/>
          <w:u w:val="single"/>
          <w:lang w:val="en-GB" w:eastAsia="en-US"/>
        </w:rPr>
        <w:t>Response prepared by the Spanish Electricity Industry Association (UNESA) referred to the MIBEL market.</w:t>
      </w:r>
    </w:p>
    <w:p w:rsidR="00211740" w:rsidRPr="00211740" w:rsidRDefault="00211740" w:rsidP="00211740">
      <w:pPr>
        <w:spacing w:after="200"/>
        <w:rPr>
          <w:rFonts w:ascii="Calibri" w:eastAsia="Calibri" w:hAnsi="Calibri" w:cs="Times New Roman"/>
          <w:b/>
          <w:sz w:val="22"/>
          <w:lang w:val="en-GB" w:eastAsia="en-US"/>
        </w:rPr>
      </w:pPr>
      <w:r w:rsidRPr="00211740">
        <w:rPr>
          <w:rFonts w:ascii="Calibri" w:eastAsia="Calibri" w:hAnsi="Calibri" w:cs="Times New Roman"/>
          <w:b/>
          <w:sz w:val="22"/>
          <w:lang w:val="en-GB" w:eastAsia="en-US"/>
        </w:rPr>
        <w:t>Iberia</w:t>
      </w:r>
    </w:p>
    <w:p w:rsidR="00211740" w:rsidRPr="00211740" w:rsidRDefault="00FD5056" w:rsidP="00211740">
      <w:pPr>
        <w:spacing w:after="200"/>
        <w:rPr>
          <w:rFonts w:ascii="Calibri" w:eastAsia="Calibri" w:hAnsi="Calibri" w:cs="Times New Roman"/>
          <w:sz w:val="22"/>
          <w:lang w:val="en-GB" w:eastAsia="en-US"/>
        </w:rPr>
      </w:pPr>
      <w:r>
        <w:rPr>
          <w:rFonts w:ascii="Calibri" w:eastAsia="Calibri" w:hAnsi="Calibri" w:cs="Times New Roman"/>
          <w:sz w:val="22"/>
          <w:lang w:val="en-GB" w:eastAsia="en-US"/>
        </w:rPr>
        <w:t>UNESA</w:t>
      </w:r>
      <w:r w:rsidR="00211740" w:rsidRPr="00211740">
        <w:rPr>
          <w:rFonts w:ascii="Calibri" w:eastAsia="Calibri" w:hAnsi="Calibri" w:cs="Times New Roman"/>
          <w:sz w:val="22"/>
          <w:lang w:val="en-GB" w:eastAsia="en-US"/>
        </w:rPr>
        <w:t xml:space="preserve"> welcomes the opportunity to participate in the consultation on the configuration of bidding zones. Our responses will make reference mainly to the situation of the Iberian </w:t>
      </w:r>
      <w:proofErr w:type="gramStart"/>
      <w:r w:rsidR="00211740" w:rsidRPr="00211740">
        <w:rPr>
          <w:rFonts w:ascii="Calibri" w:eastAsia="Calibri" w:hAnsi="Calibri" w:cs="Times New Roman"/>
          <w:sz w:val="22"/>
          <w:lang w:val="en-GB" w:eastAsia="en-US"/>
        </w:rPr>
        <w:t>peninsula</w:t>
      </w:r>
      <w:proofErr w:type="gramEnd"/>
      <w:r w:rsidR="00211740" w:rsidRPr="00211740">
        <w:rPr>
          <w:rFonts w:ascii="Calibri" w:eastAsia="Calibri" w:hAnsi="Calibri" w:cs="Times New Roman"/>
          <w:sz w:val="22"/>
          <w:lang w:val="en-GB" w:eastAsia="en-US"/>
        </w:rPr>
        <w:t>, where two zones (Spain and Portugal) currently exist, but the interconnection is seldom saturated, in order to explore the possibility of joining both zones together.</w:t>
      </w:r>
    </w:p>
    <w:p w:rsidR="00211740" w:rsidRPr="00211740" w:rsidRDefault="00211740" w:rsidP="00211740">
      <w:pPr>
        <w:spacing w:after="200"/>
        <w:rPr>
          <w:rFonts w:ascii="Calibri" w:eastAsia="Calibri" w:hAnsi="Calibri" w:cs="Times New Roman"/>
          <w:sz w:val="22"/>
          <w:lang w:val="en-GB" w:eastAsia="en-US"/>
        </w:rPr>
      </w:pPr>
      <w:r w:rsidRPr="00211740">
        <w:rPr>
          <w:rFonts w:ascii="Calibri" w:eastAsia="Calibri" w:hAnsi="Calibri" w:cs="Times New Roman"/>
          <w:sz w:val="22"/>
          <w:lang w:val="en-GB" w:eastAsia="en-US"/>
        </w:rPr>
        <w:t xml:space="preserve">The Iberian </w:t>
      </w:r>
      <w:proofErr w:type="gramStart"/>
      <w:r w:rsidRPr="00211740">
        <w:rPr>
          <w:rFonts w:ascii="Calibri" w:eastAsia="Calibri" w:hAnsi="Calibri" w:cs="Times New Roman"/>
          <w:sz w:val="22"/>
          <w:lang w:val="en-GB" w:eastAsia="en-US"/>
        </w:rPr>
        <w:t>peninsula</w:t>
      </w:r>
      <w:proofErr w:type="gramEnd"/>
      <w:r w:rsidRPr="00211740">
        <w:rPr>
          <w:rFonts w:ascii="Calibri" w:eastAsia="Calibri" w:hAnsi="Calibri" w:cs="Times New Roman"/>
          <w:sz w:val="22"/>
          <w:lang w:val="en-GB" w:eastAsia="en-US"/>
        </w:rPr>
        <w:t xml:space="preserve"> is currently divided into two bidding zones, corresponding to Spain and Portugal, under the operation of REE and REN respectively. The annual demand in Spain is 248 </w:t>
      </w:r>
      <w:proofErr w:type="spellStart"/>
      <w:r w:rsidRPr="00211740">
        <w:rPr>
          <w:rFonts w:ascii="Calibri" w:eastAsia="Calibri" w:hAnsi="Calibri" w:cs="Times New Roman"/>
          <w:sz w:val="22"/>
          <w:lang w:val="en-GB" w:eastAsia="en-US"/>
        </w:rPr>
        <w:t>TWh</w:t>
      </w:r>
      <w:proofErr w:type="spellEnd"/>
      <w:r w:rsidRPr="00211740">
        <w:rPr>
          <w:rFonts w:ascii="Calibri" w:eastAsia="Calibri" w:hAnsi="Calibri" w:cs="Times New Roman"/>
          <w:sz w:val="22"/>
          <w:lang w:val="en-GB" w:eastAsia="en-US"/>
        </w:rPr>
        <w:t xml:space="preserve">, while in Portugal is 49 </w:t>
      </w:r>
      <w:proofErr w:type="spellStart"/>
      <w:r w:rsidRPr="00211740">
        <w:rPr>
          <w:rFonts w:ascii="Calibri" w:eastAsia="Calibri" w:hAnsi="Calibri" w:cs="Times New Roman"/>
          <w:sz w:val="22"/>
          <w:lang w:val="en-GB" w:eastAsia="en-US"/>
        </w:rPr>
        <w:t>TWh</w:t>
      </w:r>
      <w:proofErr w:type="spellEnd"/>
      <w:r w:rsidRPr="00211740">
        <w:rPr>
          <w:rFonts w:ascii="Calibri" w:eastAsia="Calibri" w:hAnsi="Calibri" w:cs="Times New Roman"/>
          <w:sz w:val="22"/>
          <w:lang w:val="en-GB" w:eastAsia="en-US"/>
        </w:rPr>
        <w:t xml:space="preserve"> and the mixes are not so different, except for the nuclear production, which in Spain averages 22% of the total energy supply.</w:t>
      </w:r>
    </w:p>
    <w:p w:rsidR="00211740" w:rsidRPr="00211740" w:rsidRDefault="00211740" w:rsidP="00211740">
      <w:pPr>
        <w:spacing w:after="200"/>
        <w:rPr>
          <w:rFonts w:ascii="Calibri" w:eastAsia="Calibri" w:hAnsi="Calibri" w:cs="Times New Roman"/>
          <w:sz w:val="22"/>
          <w:lang w:val="en-GB" w:eastAsia="en-US"/>
        </w:rPr>
      </w:pPr>
      <w:r w:rsidRPr="00211740">
        <w:rPr>
          <w:rFonts w:ascii="Calibri" w:eastAsia="Calibri" w:hAnsi="Calibri" w:cs="Times New Roman"/>
          <w:sz w:val="22"/>
          <w:lang w:val="en-GB" w:eastAsia="en-US"/>
        </w:rPr>
        <w:t xml:space="preserve">Since the beginning of the Iberian Market (MIBEL) in 2006, increased price convergence has </w:t>
      </w:r>
      <w:proofErr w:type="spellStart"/>
      <w:r w:rsidRPr="00211740">
        <w:rPr>
          <w:rFonts w:ascii="Calibri" w:eastAsia="Calibri" w:hAnsi="Calibri" w:cs="Times New Roman"/>
          <w:sz w:val="22"/>
          <w:lang w:val="en-GB" w:eastAsia="en-US"/>
        </w:rPr>
        <w:t>lead</w:t>
      </w:r>
      <w:proofErr w:type="spellEnd"/>
      <w:r w:rsidRPr="00211740">
        <w:rPr>
          <w:rFonts w:ascii="Calibri" w:eastAsia="Calibri" w:hAnsi="Calibri" w:cs="Times New Roman"/>
          <w:sz w:val="22"/>
          <w:lang w:val="en-GB" w:eastAsia="en-US"/>
        </w:rPr>
        <w:t xml:space="preserve"> to a situation in which currently (2013) less than 11% of the hours show a price spread. In these hours, the amount of energy that would have to be </w:t>
      </w:r>
      <w:proofErr w:type="spellStart"/>
      <w:r w:rsidRPr="00211740">
        <w:rPr>
          <w:rFonts w:ascii="Calibri" w:eastAsia="Calibri" w:hAnsi="Calibri" w:cs="Times New Roman"/>
          <w:sz w:val="22"/>
          <w:lang w:val="en-GB" w:eastAsia="en-US"/>
        </w:rPr>
        <w:t>redispatched</w:t>
      </w:r>
      <w:proofErr w:type="spellEnd"/>
      <w:r w:rsidRPr="00211740">
        <w:rPr>
          <w:rFonts w:ascii="Calibri" w:eastAsia="Calibri" w:hAnsi="Calibri" w:cs="Times New Roman"/>
          <w:sz w:val="22"/>
          <w:lang w:val="en-GB" w:eastAsia="en-US"/>
        </w:rPr>
        <w:t xml:space="preserve"> to achieve a single price averages just 259 MW. The bigger differentials arise in periods with very high hydro and wind production (as it was the case in March 2010, January 2012 and April 2013), because of the high penetration of these technologies in the Portuguese generation mix and the combined effect of interconnection capacity reductions.</w:t>
      </w:r>
      <w:r w:rsidRPr="00211740">
        <w:rPr>
          <w:rFonts w:ascii="Calibri" w:eastAsia="Calibri" w:hAnsi="Calibri" w:cs="Times New Roman"/>
          <w:noProof/>
          <w:sz w:val="22"/>
        </w:rPr>
        <w:drawing>
          <wp:anchor distT="0" distB="0" distL="114300" distR="114300" simplePos="0" relativeHeight="251659264" behindDoc="0" locked="0" layoutInCell="1" allowOverlap="1" wp14:anchorId="43CB0AF2" wp14:editId="5F6FBB7B">
            <wp:simplePos x="0" y="0"/>
            <wp:positionH relativeFrom="column">
              <wp:align>right</wp:align>
            </wp:positionH>
            <wp:positionV relativeFrom="paragraph">
              <wp:posOffset>1136</wp:posOffset>
            </wp:positionV>
            <wp:extent cx="3156952" cy="2067059"/>
            <wp:effectExtent l="19050" t="0" r="5348"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156952" cy="2067059"/>
                    </a:xfrm>
                    <a:prstGeom prst="rect">
                      <a:avLst/>
                    </a:prstGeom>
                    <a:noFill/>
                    <a:ln w="9525">
                      <a:noFill/>
                      <a:miter lim="800000"/>
                      <a:headEnd/>
                      <a:tailEnd/>
                    </a:ln>
                  </pic:spPr>
                </pic:pic>
              </a:graphicData>
            </a:graphic>
          </wp:anchor>
        </w:drawing>
      </w:r>
    </w:p>
    <w:p w:rsidR="00211740" w:rsidRPr="00211740" w:rsidRDefault="00211740" w:rsidP="00211740">
      <w:pPr>
        <w:spacing w:after="200"/>
        <w:rPr>
          <w:rFonts w:ascii="Calibri" w:eastAsia="Calibri" w:hAnsi="Calibri" w:cs="Times New Roman"/>
          <w:sz w:val="22"/>
          <w:lang w:val="en-GB" w:eastAsia="en-US"/>
        </w:rPr>
      </w:pPr>
      <w:r w:rsidRPr="00211740">
        <w:rPr>
          <w:rFonts w:ascii="Calibri" w:eastAsia="Calibri" w:hAnsi="Calibri" w:cs="Times New Roman"/>
          <w:sz w:val="22"/>
          <w:lang w:val="en-GB" w:eastAsia="en-US"/>
        </w:rPr>
        <w:t xml:space="preserve">The forward markets quote only products indexed to the Spanish price. In 2010 and for the first time, forward trading volumes outweighed the physical demand, reaching as much as 272 </w:t>
      </w:r>
      <w:proofErr w:type="spellStart"/>
      <w:r w:rsidRPr="00211740">
        <w:rPr>
          <w:rFonts w:ascii="Calibri" w:eastAsia="Calibri" w:hAnsi="Calibri" w:cs="Times New Roman"/>
          <w:sz w:val="22"/>
          <w:lang w:val="en-GB" w:eastAsia="en-US"/>
        </w:rPr>
        <w:t>TWh</w:t>
      </w:r>
      <w:proofErr w:type="spellEnd"/>
      <w:r w:rsidRPr="00211740">
        <w:rPr>
          <w:rFonts w:ascii="Calibri" w:eastAsia="Calibri" w:hAnsi="Calibri" w:cs="Times New Roman"/>
          <w:sz w:val="22"/>
          <w:lang w:val="en-GB" w:eastAsia="en-US"/>
        </w:rPr>
        <w:t xml:space="preserve"> in 2012. There are no similar hedging opportunities in Portugal, where suppliers partially hedge using the products linked to the Spanish price and accepting the basis risk. REE auctions </w:t>
      </w:r>
      <w:proofErr w:type="spellStart"/>
      <w:r w:rsidRPr="00211740">
        <w:rPr>
          <w:rFonts w:ascii="Calibri" w:eastAsia="Calibri" w:hAnsi="Calibri" w:cs="Times New Roman"/>
          <w:sz w:val="22"/>
          <w:lang w:val="en-GB" w:eastAsia="en-US"/>
        </w:rPr>
        <w:t>CfDs</w:t>
      </w:r>
      <w:proofErr w:type="spellEnd"/>
      <w:r w:rsidRPr="00211740">
        <w:rPr>
          <w:rFonts w:ascii="Calibri" w:eastAsia="Calibri" w:hAnsi="Calibri" w:cs="Times New Roman"/>
          <w:sz w:val="22"/>
          <w:lang w:val="en-GB" w:eastAsia="en-US"/>
        </w:rPr>
        <w:t xml:space="preserve"> twice a year, but the amount is just 400 MW and the product is not traded in secondary markets.</w:t>
      </w:r>
    </w:p>
    <w:p w:rsidR="00211740" w:rsidRPr="00211740" w:rsidRDefault="00211740" w:rsidP="00211740">
      <w:pPr>
        <w:spacing w:after="200"/>
        <w:rPr>
          <w:rFonts w:ascii="Calibri" w:eastAsia="Calibri" w:hAnsi="Calibri" w:cs="Times New Roman"/>
          <w:sz w:val="22"/>
          <w:lang w:val="en-GB" w:eastAsia="en-US"/>
        </w:rPr>
      </w:pPr>
      <w:r w:rsidRPr="00211740">
        <w:rPr>
          <w:rFonts w:ascii="Calibri" w:eastAsia="Calibri" w:hAnsi="Calibri" w:cs="Times New Roman"/>
          <w:sz w:val="22"/>
          <w:lang w:val="en-GB" w:eastAsia="en-US"/>
        </w:rPr>
        <w:lastRenderedPageBreak/>
        <w:t xml:space="preserve">Introducing a single price zone in Iberia with a coordinated </w:t>
      </w:r>
      <w:proofErr w:type="spellStart"/>
      <w:r w:rsidRPr="00211740">
        <w:rPr>
          <w:rFonts w:ascii="Calibri" w:eastAsia="Calibri" w:hAnsi="Calibri" w:cs="Times New Roman"/>
          <w:sz w:val="22"/>
          <w:lang w:val="en-GB" w:eastAsia="en-US"/>
        </w:rPr>
        <w:t>redispatch</w:t>
      </w:r>
      <w:proofErr w:type="spellEnd"/>
      <w:r w:rsidRPr="00211740">
        <w:rPr>
          <w:rFonts w:ascii="Calibri" w:eastAsia="Calibri" w:hAnsi="Calibri" w:cs="Times New Roman"/>
          <w:sz w:val="22"/>
          <w:lang w:val="en-GB" w:eastAsia="en-US"/>
        </w:rPr>
        <w:t xml:space="preserve"> procedure right after the day-ahead market will have the following benefits:</w:t>
      </w:r>
    </w:p>
    <w:p w:rsidR="00211740" w:rsidRPr="00211740" w:rsidRDefault="00211740" w:rsidP="00211740">
      <w:pPr>
        <w:numPr>
          <w:ilvl w:val="0"/>
          <w:numId w:val="14"/>
        </w:numPr>
        <w:spacing w:after="200"/>
        <w:contextualSpacing/>
        <w:rPr>
          <w:rFonts w:ascii="Calibri" w:eastAsia="Calibri" w:hAnsi="Calibri" w:cs="Times New Roman"/>
          <w:sz w:val="22"/>
          <w:lang w:val="en-GB" w:eastAsia="en-US"/>
        </w:rPr>
      </w:pPr>
      <w:r w:rsidRPr="00211740">
        <w:rPr>
          <w:rFonts w:ascii="Calibri" w:eastAsia="Calibri" w:hAnsi="Calibri" w:cs="Times New Roman"/>
          <w:sz w:val="22"/>
          <w:lang w:val="en-GB" w:eastAsia="en-US"/>
        </w:rPr>
        <w:t>It eliminates the basis risk when trying to hedge Portugal in the forward markets, fostering competition in the supply business in Portugal.</w:t>
      </w:r>
    </w:p>
    <w:p w:rsidR="00211740" w:rsidRPr="00211740" w:rsidRDefault="00211740" w:rsidP="00211740">
      <w:pPr>
        <w:numPr>
          <w:ilvl w:val="0"/>
          <w:numId w:val="14"/>
        </w:numPr>
        <w:spacing w:after="200"/>
        <w:contextualSpacing/>
        <w:rPr>
          <w:rFonts w:ascii="Calibri" w:eastAsia="Calibri" w:hAnsi="Calibri" w:cs="Times New Roman"/>
          <w:sz w:val="22"/>
          <w:lang w:val="en-GB" w:eastAsia="en-US"/>
        </w:rPr>
      </w:pPr>
      <w:r w:rsidRPr="00211740">
        <w:rPr>
          <w:rFonts w:ascii="Calibri" w:eastAsia="Calibri" w:hAnsi="Calibri" w:cs="Times New Roman"/>
          <w:sz w:val="22"/>
          <w:lang w:val="en-GB" w:eastAsia="en-US"/>
        </w:rPr>
        <w:t>It will further improve competition in the Iberian market, with the main utilities having a smaller share of the production in the integrated area.</w:t>
      </w:r>
    </w:p>
    <w:p w:rsidR="00211740" w:rsidRPr="00211740" w:rsidRDefault="00211740" w:rsidP="00211740">
      <w:pPr>
        <w:numPr>
          <w:ilvl w:val="0"/>
          <w:numId w:val="14"/>
        </w:numPr>
        <w:spacing w:after="200"/>
        <w:contextualSpacing/>
        <w:rPr>
          <w:rFonts w:ascii="Calibri" w:eastAsia="Calibri" w:hAnsi="Calibri" w:cs="Times New Roman"/>
          <w:sz w:val="22"/>
          <w:lang w:val="en-GB" w:eastAsia="en-US"/>
        </w:rPr>
      </w:pPr>
      <w:r w:rsidRPr="00211740">
        <w:rPr>
          <w:rFonts w:ascii="Calibri" w:eastAsia="Calibri" w:hAnsi="Calibri" w:cs="Times New Roman"/>
          <w:sz w:val="22"/>
          <w:lang w:val="en-GB" w:eastAsia="en-US"/>
        </w:rPr>
        <w:t>It will not introduce any of the distortions mentioned in the article referred in the consultation</w:t>
      </w:r>
      <w:r w:rsidRPr="00211740">
        <w:rPr>
          <w:rFonts w:ascii="Calibri" w:eastAsia="Calibri" w:hAnsi="Calibri" w:cs="Times New Roman"/>
          <w:sz w:val="22"/>
          <w:vertAlign w:val="superscript"/>
          <w:lang w:val="en-GB" w:eastAsia="en-US"/>
        </w:rPr>
        <w:footnoteReference w:id="1"/>
      </w:r>
      <w:r w:rsidRPr="00211740">
        <w:rPr>
          <w:rFonts w:ascii="Calibri" w:eastAsia="Calibri" w:hAnsi="Calibri" w:cs="Times New Roman"/>
          <w:sz w:val="22"/>
          <w:lang w:val="en-GB" w:eastAsia="en-US"/>
        </w:rPr>
        <w:t xml:space="preserve">, as the costs of </w:t>
      </w:r>
      <w:proofErr w:type="spellStart"/>
      <w:r w:rsidRPr="00211740">
        <w:rPr>
          <w:rFonts w:ascii="Calibri" w:eastAsia="Calibri" w:hAnsi="Calibri" w:cs="Times New Roman"/>
          <w:sz w:val="22"/>
          <w:lang w:val="en-GB" w:eastAsia="en-US"/>
        </w:rPr>
        <w:t>redispatch</w:t>
      </w:r>
      <w:proofErr w:type="spellEnd"/>
      <w:r w:rsidRPr="00211740">
        <w:rPr>
          <w:rFonts w:ascii="Calibri" w:eastAsia="Calibri" w:hAnsi="Calibri" w:cs="Times New Roman"/>
          <w:sz w:val="22"/>
          <w:lang w:val="en-GB" w:eastAsia="en-US"/>
        </w:rPr>
        <w:t xml:space="preserve"> will not be socialised among the countries, bearing each TSO the cost of the </w:t>
      </w:r>
      <w:proofErr w:type="spellStart"/>
      <w:r w:rsidRPr="00211740">
        <w:rPr>
          <w:rFonts w:ascii="Calibri" w:eastAsia="Calibri" w:hAnsi="Calibri" w:cs="Times New Roman"/>
          <w:sz w:val="22"/>
          <w:lang w:val="en-GB" w:eastAsia="en-US"/>
        </w:rPr>
        <w:t>redispatching</w:t>
      </w:r>
      <w:proofErr w:type="spellEnd"/>
      <w:r w:rsidRPr="00211740">
        <w:rPr>
          <w:rFonts w:ascii="Calibri" w:eastAsia="Calibri" w:hAnsi="Calibri" w:cs="Times New Roman"/>
          <w:sz w:val="22"/>
          <w:lang w:val="en-GB" w:eastAsia="en-US"/>
        </w:rPr>
        <w:t xml:space="preserve"> needed in its own area.</w:t>
      </w:r>
    </w:p>
    <w:p w:rsidR="00211740" w:rsidRPr="00211740" w:rsidRDefault="00211740" w:rsidP="00211740">
      <w:pPr>
        <w:numPr>
          <w:ilvl w:val="0"/>
          <w:numId w:val="14"/>
        </w:numPr>
        <w:spacing w:after="200"/>
        <w:contextualSpacing/>
        <w:rPr>
          <w:rFonts w:ascii="Calibri" w:eastAsia="Calibri" w:hAnsi="Calibri" w:cs="Times New Roman"/>
          <w:sz w:val="22"/>
          <w:lang w:val="en-GB" w:eastAsia="en-US"/>
        </w:rPr>
      </w:pPr>
      <w:r w:rsidRPr="00211740">
        <w:rPr>
          <w:rFonts w:ascii="Calibri" w:eastAsia="Calibri" w:hAnsi="Calibri" w:cs="Times New Roman"/>
          <w:sz w:val="22"/>
          <w:lang w:val="en-GB" w:eastAsia="en-US"/>
        </w:rPr>
        <w:t xml:space="preserve">The coordination of the </w:t>
      </w:r>
      <w:proofErr w:type="spellStart"/>
      <w:r w:rsidRPr="00211740">
        <w:rPr>
          <w:rFonts w:ascii="Calibri" w:eastAsia="Calibri" w:hAnsi="Calibri" w:cs="Times New Roman"/>
          <w:sz w:val="22"/>
          <w:lang w:val="en-GB" w:eastAsia="en-US"/>
        </w:rPr>
        <w:t>redispatch</w:t>
      </w:r>
      <w:proofErr w:type="spellEnd"/>
      <w:r w:rsidRPr="00211740">
        <w:rPr>
          <w:rFonts w:ascii="Calibri" w:eastAsia="Calibri" w:hAnsi="Calibri" w:cs="Times New Roman"/>
          <w:sz w:val="22"/>
          <w:lang w:val="en-GB" w:eastAsia="en-US"/>
        </w:rPr>
        <w:t xml:space="preserve"> actions will eliminate some distortions, as it is the case for the preventive capacity reductions introduced by the TSOs in the day-ahead market during the periods of high hydro production.</w:t>
      </w:r>
    </w:p>
    <w:p w:rsidR="00211740" w:rsidRPr="00211740" w:rsidRDefault="00211740" w:rsidP="00211740">
      <w:pPr>
        <w:spacing w:after="200"/>
        <w:rPr>
          <w:rFonts w:ascii="Calibri" w:eastAsia="Calibri" w:hAnsi="Calibri" w:cs="Times New Roman"/>
          <w:sz w:val="22"/>
          <w:lang w:val="en-GB" w:eastAsia="en-US"/>
        </w:rPr>
      </w:pPr>
    </w:p>
    <w:p w:rsidR="00211740" w:rsidRPr="00211740" w:rsidRDefault="00211740" w:rsidP="00211740">
      <w:pPr>
        <w:spacing w:after="200"/>
        <w:rPr>
          <w:rFonts w:ascii="Calibri" w:eastAsia="Calibri" w:hAnsi="Calibri" w:cs="Times New Roman"/>
          <w:i/>
          <w:color w:val="1F497D"/>
          <w:sz w:val="22"/>
          <w:lang w:val="en-GB" w:eastAsia="en-US"/>
        </w:rPr>
      </w:pPr>
      <w:r w:rsidRPr="00211740">
        <w:rPr>
          <w:rFonts w:ascii="Calibri" w:eastAsia="Calibri" w:hAnsi="Calibri" w:cs="Times New Roman"/>
          <w:i/>
          <w:color w:val="1F497D"/>
          <w:sz w:val="22"/>
          <w:lang w:val="en-GB" w:eastAsia="en-US"/>
        </w:rPr>
        <w:t xml:space="preserve">1) How appropriate do you consider the measure of redefining zones compared to other measures, such as, continued or possibly increased application of </w:t>
      </w:r>
      <w:proofErr w:type="spellStart"/>
      <w:r w:rsidRPr="00211740">
        <w:rPr>
          <w:rFonts w:ascii="Calibri" w:eastAsia="Calibri" w:hAnsi="Calibri" w:cs="Times New Roman"/>
          <w:i/>
          <w:color w:val="1F497D"/>
          <w:sz w:val="22"/>
          <w:lang w:val="en-GB" w:eastAsia="en-US"/>
        </w:rPr>
        <w:t>redispatching</w:t>
      </w:r>
      <w:proofErr w:type="spellEnd"/>
      <w:r w:rsidRPr="00211740">
        <w:rPr>
          <w:rFonts w:ascii="Calibri" w:eastAsia="Calibri" w:hAnsi="Calibri" w:cs="Times New Roman"/>
          <w:i/>
          <w:color w:val="1F497D"/>
          <w:sz w:val="22"/>
          <w:lang w:val="en-GB" w:eastAsia="en-US"/>
        </w:rPr>
        <w:t xml:space="preserve"> actions or increased investment in transmission infrastructure to deal with congestion management and/or loop flows related issues? What is the trade-off between these choices and how should the costs attached to each (e.g. </w:t>
      </w:r>
      <w:proofErr w:type="spellStart"/>
      <w:r w:rsidRPr="00211740">
        <w:rPr>
          <w:rFonts w:ascii="Calibri" w:eastAsia="Calibri" w:hAnsi="Calibri" w:cs="Times New Roman"/>
          <w:i/>
          <w:color w:val="1F497D"/>
          <w:sz w:val="22"/>
          <w:lang w:val="en-GB" w:eastAsia="en-US"/>
        </w:rPr>
        <w:t>redispatching</w:t>
      </w:r>
      <w:proofErr w:type="spellEnd"/>
      <w:r w:rsidRPr="00211740">
        <w:rPr>
          <w:rFonts w:ascii="Calibri" w:eastAsia="Calibri" w:hAnsi="Calibri" w:cs="Times New Roman"/>
          <w:i/>
          <w:color w:val="1F497D"/>
          <w:sz w:val="22"/>
          <w:lang w:val="en-GB" w:eastAsia="en-US"/>
        </w:rPr>
        <w:t xml:space="preserve"> costs) be distributed and recovered? </w:t>
      </w:r>
    </w:p>
    <w:p w:rsidR="00211740" w:rsidRPr="00211740" w:rsidRDefault="00211740" w:rsidP="00211740">
      <w:pPr>
        <w:spacing w:after="200"/>
        <w:rPr>
          <w:rFonts w:ascii="Calibri" w:eastAsia="Calibri" w:hAnsi="Calibri" w:cs="Times New Roman"/>
          <w:sz w:val="22"/>
          <w:lang w:val="en-GB" w:eastAsia="en-US"/>
        </w:rPr>
      </w:pPr>
      <w:r w:rsidRPr="00211740">
        <w:rPr>
          <w:rFonts w:ascii="Calibri" w:eastAsia="Calibri" w:hAnsi="Calibri" w:cs="Times New Roman"/>
          <w:sz w:val="22"/>
          <w:lang w:val="en-GB" w:eastAsia="en-US"/>
        </w:rPr>
        <w:t xml:space="preserve">The issue of unintended power flows has to be tackled by </w:t>
      </w:r>
      <w:proofErr w:type="spellStart"/>
      <w:r w:rsidRPr="00211740">
        <w:rPr>
          <w:rFonts w:ascii="Calibri" w:eastAsia="Calibri" w:hAnsi="Calibri" w:cs="Times New Roman"/>
          <w:sz w:val="22"/>
          <w:lang w:val="en-GB" w:eastAsia="en-US"/>
        </w:rPr>
        <w:t>redispatching</w:t>
      </w:r>
      <w:proofErr w:type="spellEnd"/>
      <w:r w:rsidRPr="00211740">
        <w:rPr>
          <w:rFonts w:ascii="Calibri" w:eastAsia="Calibri" w:hAnsi="Calibri" w:cs="Times New Roman"/>
          <w:sz w:val="22"/>
          <w:lang w:val="en-GB" w:eastAsia="en-US"/>
        </w:rPr>
        <w:t xml:space="preserve"> and/or grid reinforcement, whatever costs less. Taking into account the target of achieving </w:t>
      </w:r>
      <w:proofErr w:type="gramStart"/>
      <w:r w:rsidRPr="00211740">
        <w:rPr>
          <w:rFonts w:ascii="Calibri" w:eastAsia="Calibri" w:hAnsi="Calibri" w:cs="Times New Roman"/>
          <w:sz w:val="22"/>
          <w:lang w:val="en-GB" w:eastAsia="en-US"/>
        </w:rPr>
        <w:t>an</w:t>
      </w:r>
      <w:proofErr w:type="gramEnd"/>
      <w:r w:rsidRPr="00211740">
        <w:rPr>
          <w:rFonts w:ascii="Calibri" w:eastAsia="Calibri" w:hAnsi="Calibri" w:cs="Times New Roman"/>
          <w:sz w:val="22"/>
          <w:lang w:val="en-GB" w:eastAsia="en-US"/>
        </w:rPr>
        <w:t xml:space="preserve"> European integrated electricity market, grid reinforcement, </w:t>
      </w:r>
      <w:r w:rsidR="00CE592B" w:rsidRPr="00CE592B">
        <w:rPr>
          <w:rFonts w:ascii="Calibri" w:eastAsia="Calibri" w:hAnsi="Calibri" w:cs="Times New Roman"/>
          <w:sz w:val="22"/>
          <w:lang w:val="en-GB" w:eastAsia="en-US"/>
        </w:rPr>
        <w:t>based on a cost-benefit analysis so as to represent clear benefits and not an excessive burden on end consumers</w:t>
      </w:r>
      <w:r w:rsidRPr="00211740">
        <w:rPr>
          <w:rFonts w:ascii="Calibri" w:eastAsia="Calibri" w:hAnsi="Calibri" w:cs="Times New Roman"/>
          <w:sz w:val="22"/>
          <w:lang w:val="en-GB" w:eastAsia="en-US"/>
        </w:rPr>
        <w:t>, should be the preferred solution.</w:t>
      </w:r>
    </w:p>
    <w:p w:rsidR="00211740" w:rsidRPr="00211740" w:rsidRDefault="00211740" w:rsidP="00211740">
      <w:pPr>
        <w:spacing w:after="200"/>
        <w:rPr>
          <w:rFonts w:ascii="Calibri" w:eastAsia="Calibri" w:hAnsi="Calibri" w:cs="Times New Roman"/>
          <w:sz w:val="22"/>
          <w:lang w:val="en-GB" w:eastAsia="en-US"/>
        </w:rPr>
      </w:pPr>
      <w:r w:rsidRPr="00211740">
        <w:rPr>
          <w:rFonts w:ascii="Calibri" w:eastAsia="Calibri" w:hAnsi="Calibri" w:cs="Times New Roman"/>
          <w:sz w:val="22"/>
          <w:lang w:val="en-GB" w:eastAsia="en-US"/>
        </w:rPr>
        <w:t xml:space="preserve">Assignment of costs across borders is a difficult issue. Investments and </w:t>
      </w:r>
      <w:proofErr w:type="spellStart"/>
      <w:r w:rsidRPr="00211740">
        <w:rPr>
          <w:rFonts w:ascii="Calibri" w:eastAsia="Calibri" w:hAnsi="Calibri" w:cs="Times New Roman"/>
          <w:sz w:val="22"/>
          <w:lang w:val="en-GB" w:eastAsia="en-US"/>
        </w:rPr>
        <w:t>redispatch</w:t>
      </w:r>
      <w:proofErr w:type="spellEnd"/>
      <w:r w:rsidRPr="00211740">
        <w:rPr>
          <w:rFonts w:ascii="Calibri" w:eastAsia="Calibri" w:hAnsi="Calibri" w:cs="Times New Roman"/>
          <w:sz w:val="22"/>
          <w:lang w:val="en-GB" w:eastAsia="en-US"/>
        </w:rPr>
        <w:t xml:space="preserve"> costs impact mainly on the consumers of the area where they take </w:t>
      </w:r>
      <w:proofErr w:type="gramStart"/>
      <w:r w:rsidRPr="00211740">
        <w:rPr>
          <w:rFonts w:ascii="Calibri" w:eastAsia="Calibri" w:hAnsi="Calibri" w:cs="Times New Roman"/>
          <w:sz w:val="22"/>
          <w:lang w:val="en-GB" w:eastAsia="en-US"/>
        </w:rPr>
        <w:t>place,</w:t>
      </w:r>
      <w:proofErr w:type="gramEnd"/>
      <w:r w:rsidRPr="00211740">
        <w:rPr>
          <w:rFonts w:ascii="Calibri" w:eastAsia="Calibri" w:hAnsi="Calibri" w:cs="Times New Roman"/>
          <w:sz w:val="22"/>
          <w:lang w:val="en-GB" w:eastAsia="en-US"/>
        </w:rPr>
        <w:t xml:space="preserve"> and each NRA may have a different view on the desired amount of investment and security of supply.</w:t>
      </w:r>
    </w:p>
    <w:p w:rsidR="00211740" w:rsidRPr="00211740" w:rsidRDefault="00211740" w:rsidP="00211740">
      <w:pPr>
        <w:spacing w:after="200"/>
        <w:rPr>
          <w:rFonts w:ascii="Calibri" w:eastAsia="Calibri" w:hAnsi="Calibri" w:cs="Times New Roman"/>
          <w:sz w:val="22"/>
          <w:lang w:val="en-GB" w:eastAsia="en-US"/>
        </w:rPr>
      </w:pPr>
      <w:proofErr w:type="spellStart"/>
      <w:r w:rsidRPr="00211740">
        <w:rPr>
          <w:rFonts w:ascii="Calibri" w:eastAsia="Calibri" w:hAnsi="Calibri" w:cs="Times New Roman"/>
          <w:sz w:val="22"/>
          <w:lang w:val="en-GB" w:eastAsia="en-US"/>
        </w:rPr>
        <w:t>Redispatching</w:t>
      </w:r>
      <w:proofErr w:type="spellEnd"/>
      <w:r w:rsidRPr="00211740">
        <w:rPr>
          <w:rFonts w:ascii="Calibri" w:eastAsia="Calibri" w:hAnsi="Calibri" w:cs="Times New Roman"/>
          <w:sz w:val="22"/>
          <w:lang w:val="en-GB" w:eastAsia="en-US"/>
        </w:rPr>
        <w:t xml:space="preserve"> ends up in the same physical dispatch as price zones. However, the economic flows differ. Static efficiency can be equally </w:t>
      </w:r>
      <w:proofErr w:type="gramStart"/>
      <w:r w:rsidRPr="00211740">
        <w:rPr>
          <w:rFonts w:ascii="Calibri" w:eastAsia="Calibri" w:hAnsi="Calibri" w:cs="Times New Roman"/>
          <w:sz w:val="22"/>
          <w:lang w:val="en-GB" w:eastAsia="en-US"/>
        </w:rPr>
        <w:t>achieved,</w:t>
      </w:r>
      <w:proofErr w:type="gramEnd"/>
      <w:r w:rsidRPr="00211740">
        <w:rPr>
          <w:rFonts w:ascii="Calibri" w:eastAsia="Calibri" w:hAnsi="Calibri" w:cs="Times New Roman"/>
          <w:sz w:val="22"/>
          <w:lang w:val="en-GB" w:eastAsia="en-US"/>
        </w:rPr>
        <w:t xml:space="preserve"> the distinction has more to do with the incentives in the long term (dynamic efficiency) and with some energy policy decisions, as nodal pricing has an impact on the demand side incentives.</w:t>
      </w:r>
    </w:p>
    <w:p w:rsidR="00211740" w:rsidRPr="00211740" w:rsidRDefault="00211740" w:rsidP="00211740">
      <w:pPr>
        <w:spacing w:after="200"/>
        <w:rPr>
          <w:rFonts w:ascii="Calibri" w:eastAsia="Calibri" w:hAnsi="Calibri" w:cs="Times New Roman"/>
          <w:i/>
          <w:color w:val="1F497D"/>
          <w:sz w:val="22"/>
          <w:lang w:val="en-GB" w:eastAsia="en-US"/>
        </w:rPr>
      </w:pPr>
      <w:r w:rsidRPr="00211740">
        <w:rPr>
          <w:rFonts w:ascii="Calibri" w:eastAsia="Calibri" w:hAnsi="Calibri" w:cs="Times New Roman"/>
          <w:i/>
          <w:color w:val="1F497D"/>
          <w:sz w:val="22"/>
          <w:lang w:val="en-GB" w:eastAsia="en-US"/>
        </w:rPr>
        <w:t xml:space="preserve">2) Do you perceive the existing bidding zone configuration to be efficient with respect to overall market efficiency (efficient dispatch of generation and load, liquidity, market power, </w:t>
      </w:r>
      <w:proofErr w:type="spellStart"/>
      <w:r w:rsidRPr="00211740">
        <w:rPr>
          <w:rFonts w:ascii="Calibri" w:eastAsia="Calibri" w:hAnsi="Calibri" w:cs="Times New Roman"/>
          <w:i/>
          <w:color w:val="1F497D"/>
          <w:sz w:val="22"/>
          <w:lang w:val="en-GB" w:eastAsia="en-US"/>
        </w:rPr>
        <w:t>redispatching</w:t>
      </w:r>
      <w:proofErr w:type="spellEnd"/>
      <w:r w:rsidRPr="00211740">
        <w:rPr>
          <w:rFonts w:ascii="Calibri" w:eastAsia="Calibri" w:hAnsi="Calibri" w:cs="Times New Roman"/>
          <w:i/>
          <w:color w:val="1F497D"/>
          <w:sz w:val="22"/>
          <w:lang w:val="en-GB" w:eastAsia="en-US"/>
        </w:rPr>
        <w:t xml:space="preserve"> costs, etc.) or do you consider that the bidding zone configuration can be improved? Which advantages or disadvantages do you see in having bidding zones of similar size or different size? </w:t>
      </w:r>
    </w:p>
    <w:p w:rsidR="00211740" w:rsidRPr="00211740" w:rsidRDefault="00211740" w:rsidP="00211740">
      <w:pPr>
        <w:spacing w:after="200"/>
        <w:rPr>
          <w:rFonts w:ascii="Calibri" w:eastAsia="Calibri" w:hAnsi="Calibri" w:cs="Times New Roman"/>
          <w:sz w:val="22"/>
          <w:lang w:val="en-GB" w:eastAsia="en-US"/>
        </w:rPr>
      </w:pPr>
      <w:r w:rsidRPr="00211740">
        <w:rPr>
          <w:rFonts w:ascii="Calibri" w:eastAsia="Calibri" w:hAnsi="Calibri" w:cs="Times New Roman"/>
          <w:sz w:val="22"/>
          <w:lang w:val="en-GB" w:eastAsia="en-US"/>
        </w:rPr>
        <w:lastRenderedPageBreak/>
        <w:t xml:space="preserve">In the Iberian </w:t>
      </w:r>
      <w:proofErr w:type="gramStart"/>
      <w:r w:rsidRPr="00211740">
        <w:rPr>
          <w:rFonts w:ascii="Calibri" w:eastAsia="Calibri" w:hAnsi="Calibri" w:cs="Times New Roman"/>
          <w:sz w:val="22"/>
          <w:lang w:val="en-GB" w:eastAsia="en-US"/>
        </w:rPr>
        <w:t>peninsula</w:t>
      </w:r>
      <w:proofErr w:type="gramEnd"/>
      <w:r w:rsidRPr="00211740">
        <w:rPr>
          <w:rFonts w:ascii="Calibri" w:eastAsia="Calibri" w:hAnsi="Calibri" w:cs="Times New Roman"/>
          <w:sz w:val="22"/>
          <w:lang w:val="en-GB" w:eastAsia="en-US"/>
        </w:rPr>
        <w:t>, merging both countries in a single price zone will have the benefits mentioned in the introduction. It may well be the case for other smaller zones in Europe.</w:t>
      </w:r>
    </w:p>
    <w:p w:rsidR="00211740" w:rsidRPr="00211740" w:rsidRDefault="00211740" w:rsidP="00211740">
      <w:pPr>
        <w:spacing w:after="200"/>
        <w:rPr>
          <w:rFonts w:ascii="Calibri" w:eastAsia="Calibri" w:hAnsi="Calibri" w:cs="Times New Roman"/>
          <w:i/>
          <w:color w:val="1F497D"/>
          <w:sz w:val="22"/>
          <w:lang w:val="en-GB" w:eastAsia="en-US"/>
        </w:rPr>
      </w:pPr>
      <w:r w:rsidRPr="00211740">
        <w:rPr>
          <w:rFonts w:ascii="Calibri" w:eastAsia="Calibri" w:hAnsi="Calibri" w:cs="Times New Roman"/>
          <w:i/>
          <w:color w:val="1F497D"/>
          <w:sz w:val="22"/>
          <w:lang w:val="en-GB" w:eastAsia="en-US"/>
        </w:rPr>
        <w:t xml:space="preserve">3) Do you deem that the current bidding zones configuration allows for an optimal use of existing transmission infrastructure or do you think that existing transmission infrastructure could be used more efficiently and how? Additionally, do you think that the configuration of bidding zones influences the effectiveness of flow-based capacity calculation and allocation? </w:t>
      </w:r>
    </w:p>
    <w:p w:rsidR="00211740" w:rsidRPr="00211740" w:rsidRDefault="00211740" w:rsidP="00211740">
      <w:pPr>
        <w:spacing w:after="200"/>
        <w:rPr>
          <w:rFonts w:ascii="Calibri" w:eastAsia="Calibri" w:hAnsi="Calibri" w:cs="Times New Roman"/>
          <w:sz w:val="22"/>
          <w:lang w:val="en-GB" w:eastAsia="en-US"/>
        </w:rPr>
      </w:pPr>
      <w:r w:rsidRPr="00211740">
        <w:rPr>
          <w:rFonts w:ascii="Calibri" w:eastAsia="Calibri" w:hAnsi="Calibri" w:cs="Times New Roman"/>
          <w:sz w:val="22"/>
          <w:lang w:val="en-GB" w:eastAsia="en-US"/>
        </w:rPr>
        <w:t>It is not the case in Iberia, where loop flows are minimal. There is a net flow of power north to south both in Spain and Portugal, but it cannot be regarded as a loop flow and it tends to decrease as more photovoltaic generation is set up in the south.</w:t>
      </w:r>
    </w:p>
    <w:p w:rsidR="00211740" w:rsidRPr="00211740" w:rsidRDefault="00211740" w:rsidP="00211740">
      <w:pPr>
        <w:spacing w:after="200"/>
        <w:rPr>
          <w:rFonts w:ascii="Calibri" w:eastAsia="Calibri" w:hAnsi="Calibri" w:cs="Times New Roman"/>
          <w:i/>
          <w:color w:val="1F497D"/>
          <w:sz w:val="22"/>
          <w:lang w:val="en-GB" w:eastAsia="en-US"/>
        </w:rPr>
      </w:pPr>
      <w:r w:rsidRPr="00211740">
        <w:rPr>
          <w:rFonts w:ascii="Calibri" w:eastAsia="Calibri" w:hAnsi="Calibri" w:cs="Times New Roman"/>
          <w:i/>
          <w:color w:val="1F497D"/>
          <w:sz w:val="22"/>
          <w:lang w:val="en-GB" w:eastAsia="en-US"/>
        </w:rPr>
        <w:t>4) How are you impacted by the current structure of bidding zones, especially in terms of potential discrimination (e.g. between internal and cross-</w:t>
      </w:r>
      <w:proofErr w:type="spellStart"/>
      <w:r w:rsidRPr="00211740">
        <w:rPr>
          <w:rFonts w:ascii="Calibri" w:eastAsia="Calibri" w:hAnsi="Calibri" w:cs="Times New Roman"/>
          <w:i/>
          <w:color w:val="1F497D"/>
          <w:sz w:val="22"/>
          <w:lang w:val="en-GB" w:eastAsia="en-US"/>
        </w:rPr>
        <w:t>zonal</w:t>
      </w:r>
      <w:proofErr w:type="spellEnd"/>
      <w:r w:rsidRPr="00211740">
        <w:rPr>
          <w:rFonts w:ascii="Calibri" w:eastAsia="Calibri" w:hAnsi="Calibri" w:cs="Times New Roman"/>
          <w:i/>
          <w:color w:val="1F497D"/>
          <w:sz w:val="22"/>
          <w:lang w:val="en-GB" w:eastAsia="en-US"/>
        </w:rPr>
        <w:t xml:space="preserve"> exchanges, among different categories of market participants, among market participants in different member states, etc.)? In particular, does the bidding zones configuration limit cross-border capacity to be offered for allocation? Does this have an impact on you? </w:t>
      </w:r>
    </w:p>
    <w:p w:rsidR="00211740" w:rsidRPr="00211740" w:rsidRDefault="00211740" w:rsidP="00211740">
      <w:pPr>
        <w:spacing w:after="200"/>
        <w:rPr>
          <w:rFonts w:ascii="Calibri" w:eastAsia="Calibri" w:hAnsi="Calibri" w:cs="Times New Roman"/>
          <w:sz w:val="22"/>
          <w:lang w:val="en-GB" w:eastAsia="en-US"/>
        </w:rPr>
      </w:pPr>
      <w:r w:rsidRPr="00211740">
        <w:rPr>
          <w:rFonts w:ascii="Calibri" w:eastAsia="Calibri" w:hAnsi="Calibri" w:cs="Times New Roman"/>
          <w:sz w:val="22"/>
          <w:lang w:val="en-GB" w:eastAsia="en-US"/>
        </w:rPr>
        <w:t xml:space="preserve">Not in general. Only during periods of high hydro production, there is preventive curtailment of interconnection capacity, due to the lack of a coordinated REE-REN </w:t>
      </w:r>
      <w:proofErr w:type="spellStart"/>
      <w:r w:rsidRPr="00211740">
        <w:rPr>
          <w:rFonts w:ascii="Calibri" w:eastAsia="Calibri" w:hAnsi="Calibri" w:cs="Times New Roman"/>
          <w:sz w:val="22"/>
          <w:lang w:val="en-GB" w:eastAsia="en-US"/>
        </w:rPr>
        <w:t>redispatching</w:t>
      </w:r>
      <w:proofErr w:type="spellEnd"/>
      <w:r w:rsidRPr="00211740">
        <w:rPr>
          <w:rFonts w:ascii="Calibri" w:eastAsia="Calibri" w:hAnsi="Calibri" w:cs="Times New Roman"/>
          <w:sz w:val="22"/>
          <w:lang w:val="en-GB" w:eastAsia="en-US"/>
        </w:rPr>
        <w:t xml:space="preserve"> procedure. The merging into a single price zone with a coordinated </w:t>
      </w:r>
      <w:proofErr w:type="spellStart"/>
      <w:r w:rsidRPr="00211740">
        <w:rPr>
          <w:rFonts w:ascii="Calibri" w:eastAsia="Calibri" w:hAnsi="Calibri" w:cs="Times New Roman"/>
          <w:sz w:val="22"/>
          <w:lang w:val="en-GB" w:eastAsia="en-US"/>
        </w:rPr>
        <w:t>redispatching</w:t>
      </w:r>
      <w:proofErr w:type="spellEnd"/>
      <w:r w:rsidRPr="00211740">
        <w:rPr>
          <w:rFonts w:ascii="Calibri" w:eastAsia="Calibri" w:hAnsi="Calibri" w:cs="Times New Roman"/>
          <w:sz w:val="22"/>
          <w:lang w:val="en-GB" w:eastAsia="en-US"/>
        </w:rPr>
        <w:t xml:space="preserve"> mechanism will eliminate the problem, as the resources on both sides of the interconnection would be available to solve the bottlenecks.</w:t>
      </w:r>
    </w:p>
    <w:p w:rsidR="00211740" w:rsidRPr="00211740" w:rsidRDefault="00211740" w:rsidP="00211740">
      <w:pPr>
        <w:spacing w:after="200"/>
        <w:rPr>
          <w:rFonts w:ascii="Calibri" w:eastAsia="Calibri" w:hAnsi="Calibri" w:cs="Times New Roman"/>
          <w:i/>
          <w:color w:val="1F497D"/>
          <w:sz w:val="22"/>
          <w:lang w:val="en-GB" w:eastAsia="en-US"/>
        </w:rPr>
      </w:pPr>
      <w:r w:rsidRPr="00211740">
        <w:rPr>
          <w:rFonts w:ascii="Calibri" w:eastAsia="Calibri" w:hAnsi="Calibri" w:cs="Times New Roman"/>
          <w:i/>
          <w:color w:val="1F497D"/>
          <w:sz w:val="22"/>
          <w:lang w:val="en-GB" w:eastAsia="en-US"/>
        </w:rPr>
        <w:t xml:space="preserve">5) Would a reconfiguration of bidding zones in the presence of EU-wide market coupling significantly influence the liquidity within the day-ahead and intraday market and in which way? What would be the impact on forward market liquidity and what are the available options to ensure or achieve liquidity in the forward market? </w:t>
      </w:r>
    </w:p>
    <w:p w:rsidR="00211740" w:rsidRPr="00211740" w:rsidRDefault="00211740" w:rsidP="00211740">
      <w:pPr>
        <w:spacing w:after="200"/>
        <w:rPr>
          <w:rFonts w:ascii="Calibri" w:eastAsia="Calibri" w:hAnsi="Calibri" w:cs="Times New Roman"/>
          <w:sz w:val="22"/>
          <w:lang w:val="en-GB" w:eastAsia="en-US"/>
        </w:rPr>
      </w:pPr>
      <w:r w:rsidRPr="00211740">
        <w:rPr>
          <w:rFonts w:ascii="Calibri" w:eastAsia="Calibri" w:hAnsi="Calibri" w:cs="Times New Roman"/>
          <w:sz w:val="22"/>
          <w:lang w:val="en-GB" w:eastAsia="en-US"/>
        </w:rPr>
        <w:t>We expect no major improvements in the day ahead or intraday timeframes, but a significant improvement in the liquidity of forward markets could be envisaged, as Portuguese participants may find useful to hedge more once the basis risk disappears. The same applies to other areas in Europe reduced in size where liquidity can improve by merging with larger ones.</w:t>
      </w:r>
    </w:p>
    <w:p w:rsidR="00211740" w:rsidRPr="00211740" w:rsidRDefault="00211740" w:rsidP="00211740">
      <w:pPr>
        <w:spacing w:after="200"/>
        <w:rPr>
          <w:rFonts w:ascii="Calibri" w:eastAsia="Calibri" w:hAnsi="Calibri" w:cs="Times New Roman"/>
          <w:i/>
          <w:color w:val="1F497D"/>
          <w:sz w:val="22"/>
          <w:lang w:val="en-GB" w:eastAsia="en-US"/>
        </w:rPr>
      </w:pPr>
      <w:r w:rsidRPr="00211740">
        <w:rPr>
          <w:rFonts w:ascii="Calibri" w:eastAsia="Calibri" w:hAnsi="Calibri" w:cs="Times New Roman"/>
          <w:i/>
          <w:color w:val="1F497D"/>
          <w:sz w:val="22"/>
          <w:lang w:val="en-GB" w:eastAsia="en-US"/>
        </w:rPr>
        <w:t xml:space="preserve">6) Are there sufficient possibilities to hedge electricity prices in the long term in the bidding zones you are active in? If not, what changes would be needed to ensure sufficient hedging opportunities? Are the transaction costs related to hedging significant or too high and how could they be reduced? </w:t>
      </w:r>
    </w:p>
    <w:p w:rsidR="00211740" w:rsidRPr="00211740" w:rsidRDefault="00211740" w:rsidP="00211740">
      <w:pPr>
        <w:spacing w:after="200"/>
        <w:rPr>
          <w:rFonts w:ascii="Calibri" w:eastAsia="Calibri" w:hAnsi="Calibri" w:cs="Times New Roman"/>
          <w:sz w:val="22"/>
          <w:lang w:val="en-GB" w:eastAsia="en-US"/>
        </w:rPr>
      </w:pPr>
      <w:r w:rsidRPr="00211740">
        <w:rPr>
          <w:rFonts w:ascii="Calibri" w:eastAsia="Calibri" w:hAnsi="Calibri" w:cs="Times New Roman"/>
          <w:sz w:val="22"/>
          <w:lang w:val="en-GB" w:eastAsia="en-US"/>
        </w:rPr>
        <w:t>Hedging is not a problem in Spain, but is a little bit more difficult in Portugal. Transaction costs are not significant.</w:t>
      </w:r>
    </w:p>
    <w:p w:rsidR="00211740" w:rsidRPr="00211740" w:rsidRDefault="00211740" w:rsidP="00211740">
      <w:pPr>
        <w:spacing w:after="200"/>
        <w:rPr>
          <w:rFonts w:ascii="Calibri" w:eastAsia="Calibri" w:hAnsi="Calibri" w:cs="Times New Roman"/>
          <w:i/>
          <w:color w:val="1F497D"/>
          <w:sz w:val="22"/>
          <w:lang w:val="en-GB" w:eastAsia="en-US"/>
        </w:rPr>
      </w:pPr>
      <w:r w:rsidRPr="00211740">
        <w:rPr>
          <w:rFonts w:ascii="Calibri" w:eastAsia="Calibri" w:hAnsi="Calibri" w:cs="Times New Roman"/>
          <w:i/>
          <w:color w:val="1F497D"/>
          <w:sz w:val="22"/>
          <w:lang w:val="en-GB" w:eastAsia="en-US"/>
        </w:rPr>
        <w:t xml:space="preserve">7) Do you think that the current bidding zones configuration provides adequate price signals for investment in transmission and generation/consumption? Can you provide any concrete example or experience where price signals were/are </w:t>
      </w:r>
      <w:proofErr w:type="gramStart"/>
      <w:r w:rsidRPr="00211740">
        <w:rPr>
          <w:rFonts w:ascii="Calibri" w:eastAsia="Calibri" w:hAnsi="Calibri" w:cs="Times New Roman"/>
          <w:i/>
          <w:color w:val="1F497D"/>
          <w:sz w:val="22"/>
          <w:lang w:val="en-GB" w:eastAsia="en-US"/>
        </w:rPr>
        <w:t>inappropriate/appropriate</w:t>
      </w:r>
      <w:proofErr w:type="gramEnd"/>
      <w:r w:rsidRPr="00211740">
        <w:rPr>
          <w:rFonts w:ascii="Calibri" w:eastAsia="Calibri" w:hAnsi="Calibri" w:cs="Times New Roman"/>
          <w:i/>
          <w:color w:val="1F497D"/>
          <w:sz w:val="22"/>
          <w:lang w:val="en-GB" w:eastAsia="en-US"/>
        </w:rPr>
        <w:t xml:space="preserve"> for investment? </w:t>
      </w:r>
    </w:p>
    <w:p w:rsidR="00CE592B" w:rsidRDefault="00211740" w:rsidP="00211740">
      <w:pPr>
        <w:spacing w:after="200"/>
        <w:rPr>
          <w:rFonts w:ascii="Calibri" w:eastAsia="Calibri" w:hAnsi="Calibri" w:cs="Times New Roman"/>
          <w:sz w:val="22"/>
          <w:lang w:val="en-GB" w:eastAsia="en-US"/>
        </w:rPr>
      </w:pPr>
      <w:r w:rsidRPr="00211740">
        <w:rPr>
          <w:rFonts w:ascii="Calibri" w:eastAsia="Calibri" w:hAnsi="Calibri" w:cs="Times New Roman"/>
          <w:sz w:val="22"/>
          <w:lang w:val="en-GB" w:eastAsia="en-US"/>
        </w:rPr>
        <w:lastRenderedPageBreak/>
        <w:t xml:space="preserve">We operate under a </w:t>
      </w:r>
      <w:proofErr w:type="spellStart"/>
      <w:r w:rsidRPr="00211740">
        <w:rPr>
          <w:rFonts w:ascii="Calibri" w:eastAsia="Calibri" w:hAnsi="Calibri" w:cs="Times New Roman"/>
          <w:sz w:val="22"/>
          <w:lang w:val="en-GB" w:eastAsia="en-US"/>
        </w:rPr>
        <w:t>zonal</w:t>
      </w:r>
      <w:proofErr w:type="spellEnd"/>
      <w:r w:rsidRPr="00211740">
        <w:rPr>
          <w:rFonts w:ascii="Calibri" w:eastAsia="Calibri" w:hAnsi="Calibri" w:cs="Times New Roman"/>
          <w:sz w:val="22"/>
          <w:lang w:val="en-GB" w:eastAsia="en-US"/>
        </w:rPr>
        <w:t xml:space="preserve"> price model, not a nodal one. Congestion within Spain and Portugal is dealt with by </w:t>
      </w:r>
      <w:proofErr w:type="spellStart"/>
      <w:r w:rsidRPr="00211740">
        <w:rPr>
          <w:rFonts w:ascii="Calibri" w:eastAsia="Calibri" w:hAnsi="Calibri" w:cs="Times New Roman"/>
          <w:sz w:val="22"/>
          <w:lang w:val="en-GB" w:eastAsia="en-US"/>
        </w:rPr>
        <w:t>redispatching</w:t>
      </w:r>
      <w:proofErr w:type="spellEnd"/>
      <w:r w:rsidRPr="00211740">
        <w:rPr>
          <w:rFonts w:ascii="Calibri" w:eastAsia="Calibri" w:hAnsi="Calibri" w:cs="Times New Roman"/>
          <w:sz w:val="22"/>
          <w:lang w:val="en-GB" w:eastAsia="en-US"/>
        </w:rPr>
        <w:t xml:space="preserve"> and the consumers pay a flat tariff for the whole country. </w:t>
      </w:r>
    </w:p>
    <w:p w:rsidR="000946DB" w:rsidRDefault="00CE592B" w:rsidP="00211740">
      <w:pPr>
        <w:spacing w:after="200"/>
        <w:rPr>
          <w:rFonts w:ascii="Calibri" w:hAnsi="Calibri"/>
          <w:sz w:val="22"/>
          <w:lang w:val="en-GB" w:eastAsia="en-US"/>
        </w:rPr>
      </w:pPr>
      <w:r>
        <w:rPr>
          <w:rFonts w:ascii="Calibri" w:eastAsia="Calibri" w:hAnsi="Calibri" w:cs="Times New Roman"/>
          <w:sz w:val="22"/>
          <w:lang w:val="en-GB" w:eastAsia="en-US"/>
        </w:rPr>
        <w:t xml:space="preserve">The </w:t>
      </w:r>
      <w:proofErr w:type="spellStart"/>
      <w:r>
        <w:rPr>
          <w:rFonts w:ascii="Calibri" w:eastAsia="Calibri" w:hAnsi="Calibri" w:cs="Times New Roman"/>
          <w:sz w:val="22"/>
          <w:lang w:val="en-GB" w:eastAsia="en-US"/>
        </w:rPr>
        <w:t>zonal</w:t>
      </w:r>
      <w:proofErr w:type="spellEnd"/>
      <w:r>
        <w:rPr>
          <w:rFonts w:ascii="Calibri" w:eastAsia="Calibri" w:hAnsi="Calibri" w:cs="Times New Roman"/>
          <w:sz w:val="22"/>
          <w:lang w:val="en-GB" w:eastAsia="en-US"/>
        </w:rPr>
        <w:t xml:space="preserve"> price model has provided enough </w:t>
      </w:r>
      <w:r w:rsidR="00211740" w:rsidRPr="00211740">
        <w:rPr>
          <w:rFonts w:ascii="Calibri" w:eastAsia="Calibri" w:hAnsi="Calibri" w:cs="Times New Roman"/>
          <w:sz w:val="22"/>
          <w:lang w:val="en-GB" w:eastAsia="en-US"/>
        </w:rPr>
        <w:t>incentives to invest in in generation capacity</w:t>
      </w:r>
      <w:r>
        <w:rPr>
          <w:rFonts w:ascii="Calibri" w:hAnsi="Calibri"/>
          <w:sz w:val="22"/>
          <w:lang w:val="en-GB" w:eastAsia="en-US"/>
        </w:rPr>
        <w:t xml:space="preserve"> </w:t>
      </w:r>
      <w:proofErr w:type="gramStart"/>
      <w:r>
        <w:rPr>
          <w:rFonts w:ascii="Calibri" w:hAnsi="Calibri"/>
          <w:sz w:val="22"/>
          <w:lang w:val="en-GB" w:eastAsia="en-US"/>
        </w:rPr>
        <w:t>The</w:t>
      </w:r>
      <w:proofErr w:type="gramEnd"/>
      <w:r>
        <w:rPr>
          <w:rFonts w:ascii="Calibri" w:hAnsi="Calibri"/>
          <w:sz w:val="22"/>
          <w:lang w:val="en-GB" w:eastAsia="en-US"/>
        </w:rPr>
        <w:t xml:space="preserve"> construction of 25.000 MW of CCGTs in Spain is the evidence</w:t>
      </w:r>
    </w:p>
    <w:p w:rsidR="00211740" w:rsidRPr="00211740" w:rsidRDefault="00211740" w:rsidP="00211740">
      <w:pPr>
        <w:spacing w:after="200"/>
        <w:rPr>
          <w:rFonts w:ascii="Calibri" w:eastAsia="Calibri" w:hAnsi="Calibri" w:cs="Times New Roman"/>
          <w:i/>
          <w:color w:val="1F497D"/>
          <w:sz w:val="22"/>
          <w:lang w:val="en-GB" w:eastAsia="en-US"/>
        </w:rPr>
      </w:pPr>
      <w:bookmarkStart w:id="0" w:name="_GoBack"/>
      <w:bookmarkEnd w:id="0"/>
      <w:r w:rsidRPr="00211740">
        <w:rPr>
          <w:rFonts w:ascii="Calibri" w:eastAsia="Calibri" w:hAnsi="Calibri" w:cs="Times New Roman"/>
          <w:i/>
          <w:color w:val="1F497D"/>
          <w:sz w:val="22"/>
          <w:lang w:val="en-GB" w:eastAsia="en-US"/>
        </w:rPr>
        <w:t xml:space="preserve">8) Is market power an important issue in the bidding zones you are active in? If so, how is it reflected and what are the consequences? What would need to be done to mitigate the market power in these zones? Which indicator would you suggest to measure market power taking into account that markets are interconnected2? </w:t>
      </w:r>
    </w:p>
    <w:p w:rsidR="00211740" w:rsidRPr="00211740" w:rsidRDefault="00211740" w:rsidP="00211740">
      <w:pPr>
        <w:spacing w:after="200"/>
        <w:rPr>
          <w:rFonts w:ascii="Calibri" w:eastAsia="Calibri" w:hAnsi="Calibri" w:cs="Times New Roman"/>
          <w:sz w:val="22"/>
          <w:lang w:val="en-GB" w:eastAsia="en-US"/>
        </w:rPr>
      </w:pPr>
      <w:r w:rsidRPr="00211740">
        <w:rPr>
          <w:rFonts w:ascii="Calibri" w:eastAsia="Calibri" w:hAnsi="Calibri" w:cs="Times New Roman"/>
          <w:sz w:val="22"/>
          <w:lang w:val="en-GB" w:eastAsia="en-US"/>
        </w:rPr>
        <w:t>Market power, as CNE pointed out in its latest report on competition in the electricity sector</w:t>
      </w:r>
      <w:r w:rsidRPr="00211740">
        <w:rPr>
          <w:rFonts w:ascii="Calibri" w:eastAsia="Calibri" w:hAnsi="Calibri" w:cs="Times New Roman"/>
          <w:sz w:val="22"/>
          <w:vertAlign w:val="superscript"/>
          <w:lang w:val="en-GB" w:eastAsia="en-US"/>
        </w:rPr>
        <w:footnoteReference w:id="2"/>
      </w:r>
      <w:r w:rsidRPr="00211740">
        <w:rPr>
          <w:rFonts w:ascii="Calibri" w:eastAsia="Calibri" w:hAnsi="Calibri" w:cs="Times New Roman"/>
          <w:sz w:val="22"/>
          <w:lang w:val="en-GB" w:eastAsia="en-US"/>
        </w:rPr>
        <w:t>, is not an issue</w:t>
      </w:r>
      <w:r w:rsidR="00CE592B">
        <w:rPr>
          <w:rFonts w:ascii="Calibri" w:eastAsia="Calibri" w:hAnsi="Calibri" w:cs="Times New Roman"/>
          <w:sz w:val="22"/>
          <w:lang w:val="en-GB" w:eastAsia="en-US"/>
        </w:rPr>
        <w:t xml:space="preserve"> for MIBEL</w:t>
      </w:r>
      <w:r w:rsidRPr="00211740">
        <w:rPr>
          <w:rFonts w:ascii="Calibri" w:eastAsia="Calibri" w:hAnsi="Calibri" w:cs="Times New Roman"/>
          <w:sz w:val="22"/>
          <w:lang w:val="en-GB" w:eastAsia="en-US"/>
        </w:rPr>
        <w:t>.</w:t>
      </w:r>
    </w:p>
    <w:p w:rsidR="00211740" w:rsidRPr="00211740" w:rsidRDefault="00211740" w:rsidP="00211740">
      <w:pPr>
        <w:spacing w:after="200"/>
        <w:rPr>
          <w:rFonts w:ascii="Calibri" w:eastAsia="Calibri" w:hAnsi="Calibri" w:cs="Times New Roman"/>
          <w:i/>
          <w:color w:val="1F497D"/>
          <w:sz w:val="22"/>
          <w:lang w:val="en-GB" w:eastAsia="en-US"/>
        </w:rPr>
      </w:pPr>
      <w:r w:rsidRPr="00211740">
        <w:rPr>
          <w:rFonts w:ascii="Calibri" w:eastAsia="Calibri" w:hAnsi="Calibri" w:cs="Times New Roman"/>
          <w:i/>
          <w:color w:val="1F497D"/>
          <w:sz w:val="22"/>
          <w:lang w:val="en-GB" w:eastAsia="en-US"/>
        </w:rPr>
        <w:t xml:space="preserve">9) As the reporting process (Activity 1 and Activity 2) will be followed by a review of bidding zones (Activity 4), stakeholders are also invited to provide some expectations about this process. Specifically, which parameters and assumptions should ENTSO-E consider in the review of bidding zones when defining scenarios (e.g. generation pattern, electricity prices) or alternative bidding zone configurations? Are there other aspects not explicitly considered in the draft CACM network code that should be taken into account and if so how to quantify their influence in terms of costs and benefits? </w:t>
      </w:r>
    </w:p>
    <w:p w:rsidR="00211740" w:rsidRPr="00211740" w:rsidRDefault="00211740" w:rsidP="00211740">
      <w:pPr>
        <w:spacing w:after="200"/>
        <w:rPr>
          <w:rFonts w:ascii="Calibri" w:eastAsia="Calibri" w:hAnsi="Calibri" w:cs="Times New Roman"/>
          <w:sz w:val="22"/>
          <w:lang w:val="en-GB" w:eastAsia="en-US"/>
        </w:rPr>
      </w:pPr>
      <w:r w:rsidRPr="00211740">
        <w:rPr>
          <w:rFonts w:ascii="Calibri" w:eastAsia="Calibri" w:hAnsi="Calibri" w:cs="Times New Roman"/>
          <w:sz w:val="22"/>
          <w:lang w:val="en-GB" w:eastAsia="en-US"/>
        </w:rPr>
        <w:t xml:space="preserve">We adhere to most of the conclusions of the study carried out by Frontier Economics and </w:t>
      </w:r>
      <w:proofErr w:type="spellStart"/>
      <w:r w:rsidRPr="00211740">
        <w:rPr>
          <w:rFonts w:ascii="Calibri" w:eastAsia="Calibri" w:hAnsi="Calibri" w:cs="Times New Roman"/>
          <w:sz w:val="22"/>
          <w:lang w:val="en-GB" w:eastAsia="en-US"/>
        </w:rPr>
        <w:t>Consentec</w:t>
      </w:r>
      <w:proofErr w:type="spellEnd"/>
      <w:r w:rsidRPr="00211740">
        <w:rPr>
          <w:rFonts w:ascii="Calibri" w:eastAsia="Calibri" w:hAnsi="Calibri" w:cs="Times New Roman"/>
          <w:sz w:val="22"/>
          <w:lang w:val="en-GB" w:eastAsia="en-US"/>
        </w:rPr>
        <w:t xml:space="preserve"> dated October 2011 (“Relevance of established national bidding areas for European power market integration – an approach to welfare oriented evaluation”) and support the general principle “the bigger, the better”. </w:t>
      </w:r>
      <w:r w:rsidR="00CE592B">
        <w:rPr>
          <w:rFonts w:ascii="Calibri" w:eastAsia="Calibri" w:hAnsi="Calibri" w:cs="Times New Roman"/>
          <w:sz w:val="22"/>
          <w:lang w:val="en-GB" w:eastAsia="en-US"/>
        </w:rPr>
        <w:t>T</w:t>
      </w:r>
      <w:r w:rsidRPr="00211740">
        <w:rPr>
          <w:rFonts w:ascii="Calibri" w:eastAsia="Calibri" w:hAnsi="Calibri" w:cs="Times New Roman"/>
          <w:sz w:val="22"/>
          <w:lang w:val="en-GB" w:eastAsia="en-US"/>
        </w:rPr>
        <w:t>he improvement in competition and liquidity of spot and forward markets and better opportunities to hedge brought by bigger price zones should prevail</w:t>
      </w:r>
      <w:r w:rsidR="00CE592B" w:rsidRPr="00DD5161">
        <w:rPr>
          <w:rFonts w:ascii="Calibri" w:hAnsi="Calibri"/>
          <w:sz w:val="22"/>
          <w:lang w:val="en-GB" w:eastAsia="en-US"/>
        </w:rPr>
        <w:t xml:space="preserve"> </w:t>
      </w:r>
      <w:r w:rsidR="00CE592B">
        <w:rPr>
          <w:rFonts w:ascii="Calibri" w:hAnsi="Calibri"/>
          <w:sz w:val="22"/>
          <w:lang w:val="en-GB" w:eastAsia="en-US"/>
        </w:rPr>
        <w:t>unless</w:t>
      </w:r>
      <w:r w:rsidR="00CE592B" w:rsidRPr="00211740">
        <w:rPr>
          <w:rFonts w:ascii="Calibri" w:hAnsi="Calibri"/>
          <w:sz w:val="22"/>
          <w:lang w:val="en-GB" w:eastAsia="en-US"/>
        </w:rPr>
        <w:t xml:space="preserve"> </w:t>
      </w:r>
      <w:proofErr w:type="spellStart"/>
      <w:r w:rsidR="00CE592B" w:rsidRPr="00211740">
        <w:rPr>
          <w:rFonts w:ascii="Calibri" w:hAnsi="Calibri"/>
          <w:sz w:val="22"/>
          <w:lang w:val="en-GB" w:eastAsia="en-US"/>
        </w:rPr>
        <w:t>redispatching</w:t>
      </w:r>
      <w:proofErr w:type="spellEnd"/>
      <w:r w:rsidR="00CE592B" w:rsidRPr="00211740">
        <w:rPr>
          <w:rFonts w:ascii="Calibri" w:hAnsi="Calibri"/>
          <w:sz w:val="22"/>
          <w:lang w:val="en-GB" w:eastAsia="en-US"/>
        </w:rPr>
        <w:t xml:space="preserve"> costs become prohibitive</w:t>
      </w:r>
      <w:r w:rsidRPr="00211740">
        <w:rPr>
          <w:rFonts w:ascii="Calibri" w:eastAsia="Calibri" w:hAnsi="Calibri" w:cs="Times New Roman"/>
          <w:sz w:val="22"/>
          <w:lang w:val="en-GB" w:eastAsia="en-US"/>
        </w:rPr>
        <w:t>.</w:t>
      </w:r>
    </w:p>
    <w:p w:rsidR="00211740" w:rsidRPr="00211740" w:rsidRDefault="00211740" w:rsidP="00211740">
      <w:pPr>
        <w:spacing w:after="200"/>
        <w:rPr>
          <w:rFonts w:ascii="Calibri" w:eastAsia="Calibri" w:hAnsi="Calibri" w:cs="Times New Roman"/>
          <w:i/>
          <w:color w:val="1F497D"/>
          <w:sz w:val="22"/>
          <w:lang w:val="en-GB" w:eastAsia="en-US"/>
        </w:rPr>
      </w:pPr>
      <w:r w:rsidRPr="00211740">
        <w:rPr>
          <w:rFonts w:ascii="Calibri" w:eastAsia="Calibri" w:hAnsi="Calibri" w:cs="Times New Roman"/>
          <w:i/>
          <w:color w:val="1F497D"/>
          <w:sz w:val="22"/>
          <w:lang w:val="en-GB" w:eastAsia="en-US"/>
        </w:rPr>
        <w:t xml:space="preserve">10) In the process for redefining bidding zones configuration, what do you think are the most important factors that NRAs should consider? Do you have any other comments related to the questions raised or considerations provided in this consultation document? </w:t>
      </w:r>
    </w:p>
    <w:p w:rsidR="00211740" w:rsidRPr="00211740" w:rsidRDefault="00211740" w:rsidP="00211740">
      <w:pPr>
        <w:rPr>
          <w:rFonts w:cs="Tahoma"/>
          <w:b/>
          <w:szCs w:val="24"/>
          <w:lang w:val="en-US"/>
        </w:rPr>
      </w:pPr>
      <w:r w:rsidRPr="00211740">
        <w:rPr>
          <w:rFonts w:ascii="Calibri" w:eastAsia="Calibri" w:hAnsi="Calibri" w:cs="Times New Roman"/>
          <w:sz w:val="22"/>
          <w:lang w:val="en-GB" w:eastAsia="en-US"/>
        </w:rPr>
        <w:t>Refer to the answer to question 9.</w:t>
      </w:r>
    </w:p>
    <w:sectPr w:rsidR="00211740" w:rsidRPr="00211740" w:rsidSect="00F257A8">
      <w:headerReference w:type="default" r:id="rId10"/>
      <w:footerReference w:type="default" r:id="rId11"/>
      <w:pgSz w:w="11906" w:h="16838" w:code="9"/>
      <w:pgMar w:top="1701" w:right="1418" w:bottom="1701" w:left="1588" w:header="73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E8D" w:rsidRDefault="007F6E8D" w:rsidP="00636A66">
      <w:pPr>
        <w:spacing w:line="240" w:lineRule="auto"/>
      </w:pPr>
      <w:r>
        <w:separator/>
      </w:r>
    </w:p>
  </w:endnote>
  <w:endnote w:type="continuationSeparator" w:id="0">
    <w:p w:rsidR="007F6E8D" w:rsidRDefault="007F6E8D" w:rsidP="00636A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IN-Regular">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52881"/>
      <w:docPartObj>
        <w:docPartGallery w:val="Page Numbers (Bottom of Page)"/>
        <w:docPartUnique/>
      </w:docPartObj>
    </w:sdtPr>
    <w:sdtEndPr/>
    <w:sdtContent>
      <w:p w:rsidR="00327046" w:rsidRDefault="00672AC9">
        <w:pPr>
          <w:pStyle w:val="Piedepgina"/>
          <w:jc w:val="center"/>
        </w:pPr>
        <w:r>
          <w:fldChar w:fldCharType="begin"/>
        </w:r>
        <w:r w:rsidR="004C5C44">
          <w:instrText>PAGE   \* MERGEFORMAT</w:instrText>
        </w:r>
        <w:r>
          <w:fldChar w:fldCharType="separate"/>
        </w:r>
        <w:r w:rsidR="000946DB" w:rsidRPr="000946DB">
          <w:rPr>
            <w:noProof/>
            <w:lang w:val="es-ES"/>
          </w:rPr>
          <w:t>1</w:t>
        </w:r>
        <w:r>
          <w:rPr>
            <w:noProof/>
            <w:lang w:val="es-ES"/>
          </w:rPr>
          <w:fldChar w:fldCharType="end"/>
        </w:r>
      </w:p>
    </w:sdtContent>
  </w:sdt>
  <w:p w:rsidR="00327046" w:rsidRDefault="0032704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E8D" w:rsidRDefault="007F6E8D" w:rsidP="00636A66">
      <w:pPr>
        <w:spacing w:line="240" w:lineRule="auto"/>
      </w:pPr>
      <w:r>
        <w:separator/>
      </w:r>
    </w:p>
  </w:footnote>
  <w:footnote w:type="continuationSeparator" w:id="0">
    <w:p w:rsidR="007F6E8D" w:rsidRDefault="007F6E8D" w:rsidP="00636A66">
      <w:pPr>
        <w:spacing w:line="240" w:lineRule="auto"/>
      </w:pPr>
      <w:r>
        <w:continuationSeparator/>
      </w:r>
    </w:p>
  </w:footnote>
  <w:footnote w:id="1">
    <w:p w:rsidR="00211740" w:rsidRPr="00086B89" w:rsidRDefault="00211740" w:rsidP="00211740">
      <w:pPr>
        <w:pStyle w:val="Textonotapie"/>
        <w:rPr>
          <w:lang w:val="en-US"/>
        </w:rPr>
      </w:pPr>
      <w:r>
        <w:rPr>
          <w:rStyle w:val="Refdenotaalpie"/>
        </w:rPr>
        <w:footnoteRef/>
      </w:r>
      <w:r w:rsidRPr="00086B89">
        <w:rPr>
          <w:lang w:val="en-US"/>
        </w:rPr>
        <w:t xml:space="preserve"> Scott M. Harvey and William W. Hogan, Nodal and Zonal Congestion Management and the Exercise of Market Power, January 10, 2000</w:t>
      </w:r>
    </w:p>
  </w:footnote>
  <w:footnote w:id="2">
    <w:p w:rsidR="00211740" w:rsidRDefault="00211740" w:rsidP="00211740">
      <w:pPr>
        <w:pStyle w:val="Textonotapie"/>
      </w:pPr>
      <w:r>
        <w:rPr>
          <w:rStyle w:val="Refdenotaalpie"/>
        </w:rPr>
        <w:footnoteRef/>
      </w:r>
      <w:r>
        <w:t xml:space="preserve"> </w:t>
      </w:r>
      <w:proofErr w:type="spellStart"/>
      <w:r>
        <w:t>See</w:t>
      </w:r>
      <w:proofErr w:type="spellEnd"/>
      <w:r>
        <w:t xml:space="preserve"> “Informe sobre la evolución de la competencia en los mercados de gas y electricidad. Periodo 2008-2010 y avance 2011”. CNE, 13th </w:t>
      </w:r>
      <w:proofErr w:type="spellStart"/>
      <w:r>
        <w:t>September</w:t>
      </w:r>
      <w:proofErr w:type="spellEnd"/>
      <w:r>
        <w:t xml:space="preserve">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514" w:rsidRDefault="00734514">
    <w:pPr>
      <w:pStyle w:val="Encabezado"/>
    </w:pPr>
    <w:r w:rsidRPr="00B74014">
      <w:rPr>
        <w:noProof/>
      </w:rPr>
      <w:drawing>
        <wp:inline distT="0" distB="0" distL="0" distR="0" wp14:anchorId="6E0A1384" wp14:editId="139BB3A7">
          <wp:extent cx="2159512" cy="813818"/>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59512" cy="813818"/>
                  </a:xfrm>
                  <a:prstGeom prst="rect">
                    <a:avLst/>
                  </a:prstGeom>
                </pic:spPr>
              </pic:pic>
            </a:graphicData>
          </a:graphic>
        </wp:inline>
      </w:drawing>
    </w:r>
  </w:p>
  <w:p w:rsidR="00BF3010" w:rsidRPr="00BF3010" w:rsidRDefault="00BF3010" w:rsidP="00BF3010">
    <w:pPr>
      <w:pStyle w:val="Encabezado"/>
      <w:jc w:val="right"/>
      <w:rPr>
        <w:b/>
        <w:color w:val="7F7F7F" w:themeColor="text1" w:themeTint="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B6395"/>
    <w:multiLevelType w:val="hybridMultilevel"/>
    <w:tmpl w:val="229C1A72"/>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
    <w:nsid w:val="13F015E0"/>
    <w:multiLevelType w:val="hybridMultilevel"/>
    <w:tmpl w:val="FC68B170"/>
    <w:lvl w:ilvl="0" w:tplc="0C0A0001">
      <w:start w:val="1"/>
      <w:numFmt w:val="bullet"/>
      <w:lvlText w:val=""/>
      <w:lvlJc w:val="left"/>
      <w:pPr>
        <w:ind w:left="360" w:hanging="360"/>
      </w:pPr>
      <w:rPr>
        <w:rFonts w:ascii="Symbol" w:hAnsi="Symbol" w:hint="default"/>
      </w:rPr>
    </w:lvl>
    <w:lvl w:ilvl="1" w:tplc="0C0A0001">
      <w:start w:val="1"/>
      <w:numFmt w:val="bullet"/>
      <w:lvlText w:val=""/>
      <w:lvlJc w:val="left"/>
      <w:pPr>
        <w:ind w:left="108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1964579F"/>
    <w:multiLevelType w:val="hybridMultilevel"/>
    <w:tmpl w:val="7FB84EC2"/>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
    <w:nsid w:val="19C96EF4"/>
    <w:multiLevelType w:val="hybridMultilevel"/>
    <w:tmpl w:val="BD201814"/>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nsid w:val="3951127A"/>
    <w:multiLevelType w:val="hybridMultilevel"/>
    <w:tmpl w:val="9926E2AE"/>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nsid w:val="432A56C7"/>
    <w:multiLevelType w:val="hybridMultilevel"/>
    <w:tmpl w:val="91EC7EC4"/>
    <w:lvl w:ilvl="0" w:tplc="68AE3F70">
      <w:start w:val="1"/>
      <w:numFmt w:val="bullet"/>
      <w:lvlText w:val="-"/>
      <w:lvlJc w:val="left"/>
      <w:pPr>
        <w:ind w:left="1428" w:hanging="360"/>
      </w:pPr>
      <w:rPr>
        <w:rFonts w:ascii="Arial" w:hAnsi="Aria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455C0E3A"/>
    <w:multiLevelType w:val="hybridMultilevel"/>
    <w:tmpl w:val="F2F8C16E"/>
    <w:lvl w:ilvl="0" w:tplc="F756483C">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49D6571F"/>
    <w:multiLevelType w:val="hybridMultilevel"/>
    <w:tmpl w:val="0798B53E"/>
    <w:lvl w:ilvl="0" w:tplc="040A0001">
      <w:start w:val="1"/>
      <w:numFmt w:val="bullet"/>
      <w:lvlText w:val=""/>
      <w:lvlJc w:val="left"/>
      <w:pPr>
        <w:ind w:left="360" w:hanging="360"/>
      </w:pPr>
      <w:rPr>
        <w:rFonts w:ascii="Symbol" w:hAnsi="Symbol" w:hint="default"/>
      </w:rPr>
    </w:lvl>
    <w:lvl w:ilvl="1" w:tplc="0C0A0001">
      <w:start w:val="1"/>
      <w:numFmt w:val="bullet"/>
      <w:lvlText w:val=""/>
      <w:lvlJc w:val="left"/>
      <w:pPr>
        <w:ind w:left="1080" w:hanging="360"/>
      </w:pPr>
      <w:rPr>
        <w:rFonts w:ascii="Symbol" w:hAnsi="Symbol" w:hint="default"/>
      </w:rPr>
    </w:lvl>
    <w:lvl w:ilvl="2" w:tplc="19F07B26">
      <w:start w:val="3"/>
      <w:numFmt w:val="bullet"/>
      <w:lvlText w:val="-"/>
      <w:lvlJc w:val="left"/>
      <w:pPr>
        <w:ind w:left="1800" w:hanging="360"/>
      </w:pPr>
      <w:rPr>
        <w:rFonts w:ascii="Arial" w:eastAsia="Calibri" w:hAnsi="Arial" w:cs="Arial" w:hint="default"/>
        <w:b w:val="0"/>
        <w:strike w:val="0"/>
        <w:dstrike w:val="0"/>
        <w:color w:val="auto"/>
        <w:u w:val="none"/>
        <w:effect w:val="none"/>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5D3C11F3"/>
    <w:multiLevelType w:val="hybridMultilevel"/>
    <w:tmpl w:val="50A2C290"/>
    <w:lvl w:ilvl="0" w:tplc="0C0A0001">
      <w:start w:val="1"/>
      <w:numFmt w:val="bullet"/>
      <w:lvlText w:val=""/>
      <w:lvlJc w:val="left"/>
      <w:pPr>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nsid w:val="7620684D"/>
    <w:multiLevelType w:val="hybridMultilevel"/>
    <w:tmpl w:val="7BF26968"/>
    <w:lvl w:ilvl="0" w:tplc="5948A388">
      <w:start w:val="1"/>
      <w:numFmt w:val="bullet"/>
      <w:lvlText w:val="−"/>
      <w:lvlJc w:val="left"/>
      <w:pPr>
        <w:ind w:left="360" w:hanging="360"/>
      </w:pPr>
      <w:rPr>
        <w:rFonts w:ascii="Tahoma" w:hAnsi="Tahoma"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0">
    <w:nsid w:val="7E1946F6"/>
    <w:multiLevelType w:val="hybridMultilevel"/>
    <w:tmpl w:val="1428C4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5"/>
  </w:num>
  <w:num w:numId="5">
    <w:abstractNumId w:val="5"/>
  </w:num>
  <w:num w:numId="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 w:numId="10">
    <w:abstractNumId w:val="9"/>
  </w:num>
  <w:num w:numId="11">
    <w:abstractNumId w:val="4"/>
  </w:num>
  <w:num w:numId="12">
    <w:abstractNumId w:val="0"/>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7CAD"/>
    <w:rsid w:val="00001595"/>
    <w:rsid w:val="000740C1"/>
    <w:rsid w:val="000928C6"/>
    <w:rsid w:val="000946DB"/>
    <w:rsid w:val="000A60AE"/>
    <w:rsid w:val="000C6C87"/>
    <w:rsid w:val="00102169"/>
    <w:rsid w:val="0011386B"/>
    <w:rsid w:val="00141567"/>
    <w:rsid w:val="001521DA"/>
    <w:rsid w:val="0016615F"/>
    <w:rsid w:val="00172416"/>
    <w:rsid w:val="001D3B71"/>
    <w:rsid w:val="001E2011"/>
    <w:rsid w:val="001E49B4"/>
    <w:rsid w:val="002070CA"/>
    <w:rsid w:val="002116C8"/>
    <w:rsid w:val="00211740"/>
    <w:rsid w:val="00245918"/>
    <w:rsid w:val="00282C91"/>
    <w:rsid w:val="00282D18"/>
    <w:rsid w:val="00283FB0"/>
    <w:rsid w:val="002A136C"/>
    <w:rsid w:val="002B791C"/>
    <w:rsid w:val="002D7CAD"/>
    <w:rsid w:val="002D7D81"/>
    <w:rsid w:val="0032024D"/>
    <w:rsid w:val="0032134C"/>
    <w:rsid w:val="00322CE8"/>
    <w:rsid w:val="00327046"/>
    <w:rsid w:val="0032748F"/>
    <w:rsid w:val="00345E2E"/>
    <w:rsid w:val="003626AD"/>
    <w:rsid w:val="003A41F2"/>
    <w:rsid w:val="003B0A9E"/>
    <w:rsid w:val="003C53D8"/>
    <w:rsid w:val="004061D4"/>
    <w:rsid w:val="004351F4"/>
    <w:rsid w:val="00483D9C"/>
    <w:rsid w:val="004B2299"/>
    <w:rsid w:val="004C5C44"/>
    <w:rsid w:val="005319CD"/>
    <w:rsid w:val="00542587"/>
    <w:rsid w:val="00556C95"/>
    <w:rsid w:val="00573CFA"/>
    <w:rsid w:val="00574EE5"/>
    <w:rsid w:val="00587021"/>
    <w:rsid w:val="005906EF"/>
    <w:rsid w:val="005A0C81"/>
    <w:rsid w:val="005A6368"/>
    <w:rsid w:val="005C0BFB"/>
    <w:rsid w:val="005D304A"/>
    <w:rsid w:val="00605923"/>
    <w:rsid w:val="006347F1"/>
    <w:rsid w:val="00636A66"/>
    <w:rsid w:val="00641376"/>
    <w:rsid w:val="00672AC9"/>
    <w:rsid w:val="006D7A7C"/>
    <w:rsid w:val="006E0863"/>
    <w:rsid w:val="00701C36"/>
    <w:rsid w:val="00714717"/>
    <w:rsid w:val="00734514"/>
    <w:rsid w:val="00740555"/>
    <w:rsid w:val="00746D3A"/>
    <w:rsid w:val="0076147D"/>
    <w:rsid w:val="007932E0"/>
    <w:rsid w:val="00795DC3"/>
    <w:rsid w:val="007D2DD9"/>
    <w:rsid w:val="007D4BB9"/>
    <w:rsid w:val="007E4C5C"/>
    <w:rsid w:val="007F4CC9"/>
    <w:rsid w:val="007F6E8D"/>
    <w:rsid w:val="00841EE7"/>
    <w:rsid w:val="008513BC"/>
    <w:rsid w:val="00880794"/>
    <w:rsid w:val="0088521C"/>
    <w:rsid w:val="008A5334"/>
    <w:rsid w:val="008C636E"/>
    <w:rsid w:val="008D06D6"/>
    <w:rsid w:val="008F10B2"/>
    <w:rsid w:val="009330EC"/>
    <w:rsid w:val="0093685C"/>
    <w:rsid w:val="009539DB"/>
    <w:rsid w:val="0095758F"/>
    <w:rsid w:val="009A0C80"/>
    <w:rsid w:val="009E732A"/>
    <w:rsid w:val="009F0089"/>
    <w:rsid w:val="009F22C5"/>
    <w:rsid w:val="009F3C3F"/>
    <w:rsid w:val="009F669B"/>
    <w:rsid w:val="00A07702"/>
    <w:rsid w:val="00A14163"/>
    <w:rsid w:val="00A850AD"/>
    <w:rsid w:val="00A94CD9"/>
    <w:rsid w:val="00AA311F"/>
    <w:rsid w:val="00AC4D7E"/>
    <w:rsid w:val="00AF20D0"/>
    <w:rsid w:val="00B10E66"/>
    <w:rsid w:val="00B304EC"/>
    <w:rsid w:val="00B36E0D"/>
    <w:rsid w:val="00B41293"/>
    <w:rsid w:val="00B72BFB"/>
    <w:rsid w:val="00B81312"/>
    <w:rsid w:val="00B81934"/>
    <w:rsid w:val="00BE4624"/>
    <w:rsid w:val="00BF1D1B"/>
    <w:rsid w:val="00BF3010"/>
    <w:rsid w:val="00BF5249"/>
    <w:rsid w:val="00C01611"/>
    <w:rsid w:val="00C11697"/>
    <w:rsid w:val="00C32D4D"/>
    <w:rsid w:val="00C4257D"/>
    <w:rsid w:val="00C44020"/>
    <w:rsid w:val="00C84AA0"/>
    <w:rsid w:val="00C857A8"/>
    <w:rsid w:val="00C91E96"/>
    <w:rsid w:val="00CB6D59"/>
    <w:rsid w:val="00CE592B"/>
    <w:rsid w:val="00CF7F87"/>
    <w:rsid w:val="00D006CE"/>
    <w:rsid w:val="00D16FFC"/>
    <w:rsid w:val="00D25D1A"/>
    <w:rsid w:val="00D31CEB"/>
    <w:rsid w:val="00D71CEF"/>
    <w:rsid w:val="00D7593B"/>
    <w:rsid w:val="00D80CD3"/>
    <w:rsid w:val="00D91F2D"/>
    <w:rsid w:val="00DB3439"/>
    <w:rsid w:val="00DB69E5"/>
    <w:rsid w:val="00DC35AC"/>
    <w:rsid w:val="00DD1C10"/>
    <w:rsid w:val="00DF3673"/>
    <w:rsid w:val="00E12410"/>
    <w:rsid w:val="00E248BB"/>
    <w:rsid w:val="00E75B34"/>
    <w:rsid w:val="00E83BD0"/>
    <w:rsid w:val="00E85564"/>
    <w:rsid w:val="00E86FB6"/>
    <w:rsid w:val="00EA7C64"/>
    <w:rsid w:val="00F169A9"/>
    <w:rsid w:val="00F257A8"/>
    <w:rsid w:val="00F32A38"/>
    <w:rsid w:val="00F34A9C"/>
    <w:rsid w:val="00F4722B"/>
    <w:rsid w:val="00FA15F6"/>
    <w:rsid w:val="00FA244F"/>
    <w:rsid w:val="00FC714E"/>
    <w:rsid w:val="00FD5056"/>
    <w:rsid w:val="00FF23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4"/>
        <w:szCs w:val="22"/>
        <w:lang w:val="es-ES_tradnl" w:eastAsia="es-ES_tradnl"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DD9"/>
  </w:style>
  <w:style w:type="paragraph" w:styleId="Ttulo1">
    <w:name w:val="heading 1"/>
    <w:basedOn w:val="Normal"/>
    <w:next w:val="Normal"/>
    <w:link w:val="Ttulo1Car"/>
    <w:uiPriority w:val="9"/>
    <w:qFormat/>
    <w:rsid w:val="002A136C"/>
    <w:pPr>
      <w:keepNext/>
      <w:keepLines/>
      <w:spacing w:before="480"/>
      <w:ind w:left="720" w:hanging="360"/>
      <w:outlineLvl w:val="0"/>
    </w:pPr>
    <w:rPr>
      <w:rFonts w:eastAsiaTheme="majorEastAsia" w:cstheme="majorBidi"/>
      <w:bCs/>
      <w:szCs w:val="28"/>
      <w:u w:val="thick"/>
      <w:lang w:val="es-ES"/>
    </w:rPr>
  </w:style>
  <w:style w:type="paragraph" w:styleId="Ttulo2">
    <w:name w:val="heading 2"/>
    <w:basedOn w:val="Normal"/>
    <w:next w:val="Normal"/>
    <w:link w:val="Ttulo2Car"/>
    <w:qFormat/>
    <w:rsid w:val="007D2DD9"/>
    <w:pPr>
      <w:keepNext/>
      <w:spacing w:line="240" w:lineRule="auto"/>
      <w:jc w:val="left"/>
      <w:outlineLvl w:val="1"/>
    </w:pPr>
    <w:rPr>
      <w:rFonts w:eastAsiaTheme="majorEastAsia" w:cs="Arial"/>
      <w:b/>
      <w:bCs/>
      <w:u w:val="single"/>
    </w:rPr>
  </w:style>
  <w:style w:type="paragraph" w:styleId="Ttulo8">
    <w:name w:val="heading 8"/>
    <w:basedOn w:val="Ttulo"/>
    <w:next w:val="Normal"/>
    <w:link w:val="Ttulo8Car"/>
    <w:semiHidden/>
    <w:unhideWhenUsed/>
    <w:qFormat/>
    <w:rsid w:val="00DF3673"/>
    <w:pPr>
      <w:spacing w:before="0" w:after="0"/>
      <w:outlineLvl w:val="7"/>
    </w:pPr>
    <w:rPr>
      <w:rFonts w:eastAsiaTheme="minorEastAsia" w:cstheme="minorBidi"/>
      <w:i/>
      <w:iCs/>
      <w:color w:val="66669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A136C"/>
    <w:rPr>
      <w:rFonts w:eastAsiaTheme="majorEastAsia" w:cstheme="majorBidi"/>
      <w:bCs/>
      <w:szCs w:val="28"/>
      <w:u w:val="thick"/>
      <w:lang w:val="es-ES"/>
    </w:rPr>
  </w:style>
  <w:style w:type="character" w:customStyle="1" w:styleId="Ttulo2Car">
    <w:name w:val="Título 2 Car"/>
    <w:basedOn w:val="Fuentedeprrafopredeter"/>
    <w:link w:val="Ttulo2"/>
    <w:rsid w:val="007D2DD9"/>
    <w:rPr>
      <w:rFonts w:eastAsiaTheme="majorEastAsia" w:cs="Arial"/>
      <w:b/>
      <w:bCs/>
      <w:u w:val="single"/>
    </w:rPr>
  </w:style>
  <w:style w:type="paragraph" w:styleId="Sinespaciado">
    <w:name w:val="No Spacing"/>
    <w:uiPriority w:val="1"/>
    <w:qFormat/>
    <w:rsid w:val="007D2DD9"/>
    <w:pPr>
      <w:spacing w:line="240" w:lineRule="auto"/>
    </w:pPr>
  </w:style>
  <w:style w:type="paragraph" w:styleId="Ttulo">
    <w:name w:val="Title"/>
    <w:basedOn w:val="Normal"/>
    <w:next w:val="Normal"/>
    <w:link w:val="TtuloCar"/>
    <w:qFormat/>
    <w:rsid w:val="00DF3673"/>
    <w:pPr>
      <w:spacing w:before="240" w:after="60" w:line="240" w:lineRule="auto"/>
      <w:jc w:val="left"/>
      <w:outlineLvl w:val="0"/>
    </w:pPr>
    <w:rPr>
      <w:rFonts w:eastAsiaTheme="majorEastAsia" w:cstheme="majorBidi"/>
      <w:b/>
      <w:bCs/>
      <w:color w:val="1F497D" w:themeColor="text2"/>
      <w:kern w:val="28"/>
      <w:sz w:val="22"/>
      <w:szCs w:val="32"/>
      <w:lang w:eastAsia="es-ES"/>
    </w:rPr>
  </w:style>
  <w:style w:type="character" w:customStyle="1" w:styleId="TtuloCar">
    <w:name w:val="Título Car"/>
    <w:basedOn w:val="Fuentedeprrafopredeter"/>
    <w:link w:val="Ttulo"/>
    <w:rsid w:val="00DF3673"/>
    <w:rPr>
      <w:rFonts w:eastAsiaTheme="majorEastAsia" w:cstheme="majorBidi"/>
      <w:b/>
      <w:bCs/>
      <w:color w:val="1F497D" w:themeColor="text2"/>
      <w:kern w:val="28"/>
      <w:sz w:val="22"/>
      <w:szCs w:val="32"/>
      <w:lang w:eastAsia="es-ES"/>
    </w:rPr>
  </w:style>
  <w:style w:type="character" w:customStyle="1" w:styleId="Ttulo8Car">
    <w:name w:val="Título 8 Car"/>
    <w:basedOn w:val="Fuentedeprrafopredeter"/>
    <w:link w:val="Ttulo8"/>
    <w:semiHidden/>
    <w:rsid w:val="00DF3673"/>
    <w:rPr>
      <w:rFonts w:eastAsiaTheme="minorEastAsia"/>
      <w:b/>
      <w:bCs/>
      <w:i/>
      <w:iCs/>
      <w:color w:val="666699"/>
      <w:kern w:val="28"/>
      <w:sz w:val="22"/>
      <w:szCs w:val="32"/>
      <w:lang w:eastAsia="es-ES"/>
    </w:rPr>
  </w:style>
  <w:style w:type="character" w:styleId="Hipervnculo">
    <w:name w:val="Hyperlink"/>
    <w:basedOn w:val="Fuentedeprrafopredeter"/>
    <w:uiPriority w:val="99"/>
    <w:unhideWhenUsed/>
    <w:rsid w:val="00C84AA0"/>
    <w:rPr>
      <w:rFonts w:ascii="Tahoma" w:hAnsi="Tahoma"/>
      <w:color w:val="auto"/>
      <w:sz w:val="22"/>
      <w:u w:val="none"/>
    </w:rPr>
  </w:style>
  <w:style w:type="paragraph" w:styleId="Prrafodelista">
    <w:name w:val="List Paragraph"/>
    <w:basedOn w:val="Normal"/>
    <w:uiPriority w:val="99"/>
    <w:qFormat/>
    <w:rsid w:val="00636A66"/>
    <w:pPr>
      <w:ind w:left="720"/>
      <w:contextualSpacing/>
    </w:pPr>
  </w:style>
  <w:style w:type="paragraph" w:styleId="Textonotapie">
    <w:name w:val="footnote text"/>
    <w:basedOn w:val="Normal"/>
    <w:link w:val="TextonotapieCar"/>
    <w:uiPriority w:val="99"/>
    <w:semiHidden/>
    <w:unhideWhenUsed/>
    <w:rsid w:val="00636A66"/>
    <w:pPr>
      <w:spacing w:line="240" w:lineRule="auto"/>
    </w:pPr>
    <w:rPr>
      <w:sz w:val="20"/>
      <w:szCs w:val="20"/>
    </w:rPr>
  </w:style>
  <w:style w:type="character" w:customStyle="1" w:styleId="TextonotapieCar">
    <w:name w:val="Texto nota pie Car"/>
    <w:basedOn w:val="Fuentedeprrafopredeter"/>
    <w:link w:val="Textonotapie"/>
    <w:uiPriority w:val="99"/>
    <w:semiHidden/>
    <w:rsid w:val="00636A66"/>
    <w:rPr>
      <w:sz w:val="20"/>
      <w:szCs w:val="20"/>
    </w:rPr>
  </w:style>
  <w:style w:type="character" w:styleId="Refdenotaalpie">
    <w:name w:val="footnote reference"/>
    <w:basedOn w:val="Fuentedeprrafopredeter"/>
    <w:uiPriority w:val="99"/>
    <w:semiHidden/>
    <w:unhideWhenUsed/>
    <w:rsid w:val="00636A66"/>
    <w:rPr>
      <w:vertAlign w:val="superscript"/>
    </w:rPr>
  </w:style>
  <w:style w:type="paragraph" w:styleId="Encabezado">
    <w:name w:val="header"/>
    <w:basedOn w:val="Normal"/>
    <w:link w:val="EncabezadoCar"/>
    <w:uiPriority w:val="99"/>
    <w:unhideWhenUsed/>
    <w:rsid w:val="00345E2E"/>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345E2E"/>
  </w:style>
  <w:style w:type="paragraph" w:styleId="Piedepgina">
    <w:name w:val="footer"/>
    <w:basedOn w:val="Normal"/>
    <w:link w:val="PiedepginaCar"/>
    <w:uiPriority w:val="99"/>
    <w:unhideWhenUsed/>
    <w:rsid w:val="00345E2E"/>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345E2E"/>
  </w:style>
  <w:style w:type="paragraph" w:styleId="Textodeglobo">
    <w:name w:val="Balloon Text"/>
    <w:basedOn w:val="Normal"/>
    <w:link w:val="TextodegloboCar"/>
    <w:uiPriority w:val="99"/>
    <w:semiHidden/>
    <w:unhideWhenUsed/>
    <w:rsid w:val="00345E2E"/>
    <w:pPr>
      <w:spacing w:line="240" w:lineRule="auto"/>
    </w:pPr>
    <w:rPr>
      <w:rFonts w:cs="Tahoma"/>
      <w:sz w:val="16"/>
      <w:szCs w:val="16"/>
    </w:rPr>
  </w:style>
  <w:style w:type="character" w:customStyle="1" w:styleId="TextodegloboCar">
    <w:name w:val="Texto de globo Car"/>
    <w:basedOn w:val="Fuentedeprrafopredeter"/>
    <w:link w:val="Textodeglobo"/>
    <w:uiPriority w:val="99"/>
    <w:semiHidden/>
    <w:rsid w:val="00345E2E"/>
    <w:rPr>
      <w:rFonts w:cs="Tahoma"/>
      <w:sz w:val="16"/>
      <w:szCs w:val="16"/>
    </w:rPr>
  </w:style>
  <w:style w:type="character" w:styleId="Textoennegrita">
    <w:name w:val="Strong"/>
    <w:basedOn w:val="Fuentedeprrafopredeter"/>
    <w:uiPriority w:val="22"/>
    <w:qFormat/>
    <w:rsid w:val="006E0863"/>
    <w:rPr>
      <w:rFonts w:ascii="Times New Roman" w:hAnsi="Times New Roman" w:cs="Times New Roman" w:hint="default"/>
      <w:b/>
      <w:bCs/>
    </w:rPr>
  </w:style>
  <w:style w:type="paragraph" w:styleId="Textoindependiente">
    <w:name w:val="Body Text"/>
    <w:basedOn w:val="Normal"/>
    <w:link w:val="TextoindependienteCar"/>
    <w:uiPriority w:val="99"/>
    <w:semiHidden/>
    <w:unhideWhenUsed/>
    <w:rsid w:val="006E0863"/>
    <w:pPr>
      <w:spacing w:line="240" w:lineRule="auto"/>
    </w:pPr>
    <w:rPr>
      <w:rFonts w:ascii="DIN-Regular" w:hAnsi="DIN-Regular" w:cs="Times New Roman"/>
      <w:sz w:val="22"/>
      <w:lang w:val="es-ES" w:eastAsia="es-ES"/>
    </w:rPr>
  </w:style>
  <w:style w:type="character" w:customStyle="1" w:styleId="TextoindependienteCar">
    <w:name w:val="Texto independiente Car"/>
    <w:basedOn w:val="Fuentedeprrafopredeter"/>
    <w:link w:val="Textoindependiente"/>
    <w:uiPriority w:val="99"/>
    <w:semiHidden/>
    <w:rsid w:val="006E0863"/>
    <w:rPr>
      <w:rFonts w:ascii="DIN-Regular" w:hAnsi="DIN-Regular" w:cs="Times New Roman"/>
      <w:sz w:val="22"/>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4"/>
        <w:szCs w:val="22"/>
        <w:lang w:val="es-ES_tradnl" w:eastAsia="es-ES_tradnl"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DD9"/>
  </w:style>
  <w:style w:type="paragraph" w:styleId="Ttulo1">
    <w:name w:val="heading 1"/>
    <w:basedOn w:val="Normal"/>
    <w:next w:val="Normal"/>
    <w:link w:val="Ttulo1Car"/>
    <w:uiPriority w:val="9"/>
    <w:qFormat/>
    <w:rsid w:val="002A136C"/>
    <w:pPr>
      <w:keepNext/>
      <w:keepLines/>
      <w:spacing w:before="480"/>
      <w:ind w:left="720" w:hanging="360"/>
      <w:outlineLvl w:val="0"/>
    </w:pPr>
    <w:rPr>
      <w:rFonts w:eastAsiaTheme="majorEastAsia" w:cstheme="majorBidi"/>
      <w:bCs/>
      <w:szCs w:val="28"/>
      <w:u w:val="thick"/>
      <w:lang w:val="es-ES"/>
    </w:rPr>
  </w:style>
  <w:style w:type="paragraph" w:styleId="Ttulo2">
    <w:name w:val="heading 2"/>
    <w:basedOn w:val="Normal"/>
    <w:next w:val="Normal"/>
    <w:link w:val="Ttulo2Car"/>
    <w:qFormat/>
    <w:rsid w:val="007D2DD9"/>
    <w:pPr>
      <w:keepNext/>
      <w:spacing w:line="240" w:lineRule="auto"/>
      <w:jc w:val="left"/>
      <w:outlineLvl w:val="1"/>
    </w:pPr>
    <w:rPr>
      <w:rFonts w:eastAsiaTheme="majorEastAsia" w:cs="Arial"/>
      <w:b/>
      <w:bCs/>
      <w:u w:val="single"/>
    </w:rPr>
  </w:style>
  <w:style w:type="paragraph" w:styleId="Ttulo8">
    <w:name w:val="heading 8"/>
    <w:basedOn w:val="Ttulo"/>
    <w:next w:val="Normal"/>
    <w:link w:val="Ttulo8Car"/>
    <w:semiHidden/>
    <w:unhideWhenUsed/>
    <w:qFormat/>
    <w:rsid w:val="00DF3673"/>
    <w:pPr>
      <w:spacing w:before="0" w:after="0"/>
      <w:outlineLvl w:val="7"/>
    </w:pPr>
    <w:rPr>
      <w:rFonts w:eastAsiaTheme="minorEastAsia" w:cstheme="minorBidi"/>
      <w:i/>
      <w:iCs/>
      <w:color w:val="66669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A136C"/>
    <w:rPr>
      <w:rFonts w:eastAsiaTheme="majorEastAsia" w:cstheme="majorBidi"/>
      <w:bCs/>
      <w:szCs w:val="28"/>
      <w:u w:val="thick"/>
      <w:lang w:val="es-ES"/>
    </w:rPr>
  </w:style>
  <w:style w:type="character" w:customStyle="1" w:styleId="Ttulo2Car">
    <w:name w:val="Título 2 Car"/>
    <w:basedOn w:val="Fuentedeprrafopredeter"/>
    <w:link w:val="Ttulo2"/>
    <w:rsid w:val="007D2DD9"/>
    <w:rPr>
      <w:rFonts w:eastAsiaTheme="majorEastAsia" w:cs="Arial"/>
      <w:b/>
      <w:bCs/>
      <w:u w:val="single"/>
    </w:rPr>
  </w:style>
  <w:style w:type="paragraph" w:styleId="Sinespaciado">
    <w:name w:val="No Spacing"/>
    <w:uiPriority w:val="1"/>
    <w:qFormat/>
    <w:rsid w:val="007D2DD9"/>
    <w:pPr>
      <w:spacing w:line="240" w:lineRule="auto"/>
    </w:pPr>
  </w:style>
  <w:style w:type="paragraph" w:styleId="Ttulo">
    <w:name w:val="Title"/>
    <w:basedOn w:val="Normal"/>
    <w:next w:val="Normal"/>
    <w:link w:val="TtuloCar"/>
    <w:qFormat/>
    <w:rsid w:val="00DF3673"/>
    <w:pPr>
      <w:spacing w:before="240" w:after="60" w:line="240" w:lineRule="auto"/>
      <w:jc w:val="left"/>
      <w:outlineLvl w:val="0"/>
    </w:pPr>
    <w:rPr>
      <w:rFonts w:eastAsiaTheme="majorEastAsia" w:cstheme="majorBidi"/>
      <w:b/>
      <w:bCs/>
      <w:color w:val="1F497D" w:themeColor="text2"/>
      <w:kern w:val="28"/>
      <w:sz w:val="22"/>
      <w:szCs w:val="32"/>
      <w:lang w:eastAsia="es-ES"/>
    </w:rPr>
  </w:style>
  <w:style w:type="character" w:customStyle="1" w:styleId="TtuloCar">
    <w:name w:val="Título Car"/>
    <w:basedOn w:val="Fuentedeprrafopredeter"/>
    <w:link w:val="Ttulo"/>
    <w:rsid w:val="00DF3673"/>
    <w:rPr>
      <w:rFonts w:eastAsiaTheme="majorEastAsia" w:cstheme="majorBidi"/>
      <w:b/>
      <w:bCs/>
      <w:color w:val="1F497D" w:themeColor="text2"/>
      <w:kern w:val="28"/>
      <w:sz w:val="22"/>
      <w:szCs w:val="32"/>
      <w:lang w:eastAsia="es-ES"/>
    </w:rPr>
  </w:style>
  <w:style w:type="character" w:customStyle="1" w:styleId="Ttulo8Car">
    <w:name w:val="Título 8 Car"/>
    <w:basedOn w:val="Fuentedeprrafopredeter"/>
    <w:link w:val="Ttulo8"/>
    <w:semiHidden/>
    <w:rsid w:val="00DF3673"/>
    <w:rPr>
      <w:rFonts w:eastAsiaTheme="minorEastAsia"/>
      <w:b/>
      <w:bCs/>
      <w:i/>
      <w:iCs/>
      <w:color w:val="666699"/>
      <w:kern w:val="28"/>
      <w:sz w:val="22"/>
      <w:szCs w:val="32"/>
      <w:lang w:eastAsia="es-ES"/>
    </w:rPr>
  </w:style>
  <w:style w:type="character" w:styleId="Hipervnculo">
    <w:name w:val="Hyperlink"/>
    <w:basedOn w:val="Fuentedeprrafopredeter"/>
    <w:uiPriority w:val="99"/>
    <w:unhideWhenUsed/>
    <w:rsid w:val="00C84AA0"/>
    <w:rPr>
      <w:rFonts w:ascii="Tahoma" w:hAnsi="Tahoma"/>
      <w:color w:val="auto"/>
      <w:sz w:val="22"/>
      <w:u w:val="none"/>
    </w:rPr>
  </w:style>
  <w:style w:type="paragraph" w:styleId="Prrafodelista">
    <w:name w:val="List Paragraph"/>
    <w:basedOn w:val="Normal"/>
    <w:uiPriority w:val="34"/>
    <w:qFormat/>
    <w:rsid w:val="00636A66"/>
    <w:pPr>
      <w:ind w:left="720"/>
      <w:contextualSpacing/>
    </w:pPr>
  </w:style>
  <w:style w:type="paragraph" w:styleId="Textonotapie">
    <w:name w:val="footnote text"/>
    <w:basedOn w:val="Normal"/>
    <w:link w:val="TextonotapieCar"/>
    <w:uiPriority w:val="99"/>
    <w:semiHidden/>
    <w:unhideWhenUsed/>
    <w:rsid w:val="00636A66"/>
    <w:pPr>
      <w:spacing w:line="240" w:lineRule="auto"/>
    </w:pPr>
    <w:rPr>
      <w:sz w:val="20"/>
      <w:szCs w:val="20"/>
    </w:rPr>
  </w:style>
  <w:style w:type="character" w:customStyle="1" w:styleId="TextonotapieCar">
    <w:name w:val="Texto nota pie Car"/>
    <w:basedOn w:val="Fuentedeprrafopredeter"/>
    <w:link w:val="Textonotapie"/>
    <w:uiPriority w:val="99"/>
    <w:semiHidden/>
    <w:rsid w:val="00636A66"/>
    <w:rPr>
      <w:sz w:val="20"/>
      <w:szCs w:val="20"/>
    </w:rPr>
  </w:style>
  <w:style w:type="character" w:styleId="Refdenotaalpie">
    <w:name w:val="footnote reference"/>
    <w:basedOn w:val="Fuentedeprrafopredeter"/>
    <w:uiPriority w:val="99"/>
    <w:semiHidden/>
    <w:unhideWhenUsed/>
    <w:rsid w:val="00636A66"/>
    <w:rPr>
      <w:vertAlign w:val="superscript"/>
    </w:rPr>
  </w:style>
  <w:style w:type="paragraph" w:styleId="Encabezado">
    <w:name w:val="header"/>
    <w:basedOn w:val="Normal"/>
    <w:link w:val="EncabezadoCar"/>
    <w:uiPriority w:val="99"/>
    <w:unhideWhenUsed/>
    <w:rsid w:val="00345E2E"/>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345E2E"/>
  </w:style>
  <w:style w:type="paragraph" w:styleId="Piedepgina">
    <w:name w:val="footer"/>
    <w:basedOn w:val="Normal"/>
    <w:link w:val="PiedepginaCar"/>
    <w:uiPriority w:val="99"/>
    <w:unhideWhenUsed/>
    <w:rsid w:val="00345E2E"/>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345E2E"/>
  </w:style>
  <w:style w:type="paragraph" w:styleId="Textodeglobo">
    <w:name w:val="Balloon Text"/>
    <w:basedOn w:val="Normal"/>
    <w:link w:val="TextodegloboCar"/>
    <w:uiPriority w:val="99"/>
    <w:semiHidden/>
    <w:unhideWhenUsed/>
    <w:rsid w:val="00345E2E"/>
    <w:pPr>
      <w:spacing w:line="240" w:lineRule="auto"/>
    </w:pPr>
    <w:rPr>
      <w:rFonts w:cs="Tahoma"/>
      <w:sz w:val="16"/>
      <w:szCs w:val="16"/>
    </w:rPr>
  </w:style>
  <w:style w:type="character" w:customStyle="1" w:styleId="TextodegloboCar">
    <w:name w:val="Texto de globo Car"/>
    <w:basedOn w:val="Fuentedeprrafopredeter"/>
    <w:link w:val="Textodeglobo"/>
    <w:uiPriority w:val="99"/>
    <w:semiHidden/>
    <w:rsid w:val="00345E2E"/>
    <w:rPr>
      <w:rFonts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45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3D509BEFE41E48AF885BAE592BE52E" ma:contentTypeVersion="21" ma:contentTypeDescription="Create a new document." ma:contentTypeScope="" ma:versionID="a0f2be9f7ad52188380f5a428bab7385">
  <xsd:schema xmlns:xsd="http://www.w3.org/2001/XMLSchema" xmlns:xs="http://www.w3.org/2001/XMLSchema" xmlns:p="http://schemas.microsoft.com/office/2006/metadata/properties" xmlns:ns2="985daa2e-53d8-4475-82b8-9c7d25324e34" targetNamespace="http://schemas.microsoft.com/office/2006/metadata/properties" ma:root="true" ma:fieldsID="87577735a49fbbb1e880d92c7652797e" ns2:_="">
    <xsd:import namespace="985daa2e-53d8-4475-82b8-9c7d25324e34"/>
    <xsd:element name="properties">
      <xsd:complexType>
        <xsd:sequence>
          <xsd:element name="documentManagement">
            <xsd:complexType>
              <xsd:all>
                <xsd:element ref="ns2:_dlc_DocId" minOccurs="0"/>
                <xsd:element ref="ns2:_dlc_DocIdUrl" minOccurs="0"/>
                <xsd:element ref="ns2:_dlc_DocIdPersistId" minOccurs="0"/>
                <xsd:element ref="ns2:ACER_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1" nillable="true" ma:displayName="Abstract" ma:description="" ma:internalName="ACER_Abstrac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985daa2e-53d8-4475-82b8-9c7d25324e34">ACER-2015-19761</_dlc_DocId>
    <_dlc_DocIdUrl xmlns="985daa2e-53d8-4475-82b8-9c7d25324e34">
      <Url>http://s-do-prod-ap/Official_documents/Public_consultations/_layouts/DocIdRedir.aspx?ID=ACER-2015-19761</Url>
      <Description>ACER-2015-19761</Description>
    </_dlc_DocIdUrl>
    <ACER_Abstract xmlns="985daa2e-53d8-4475-82b8-9c7d25324e34" xsi:nil="true"/>
  </documentManagement>
</p:properties>
</file>

<file path=customXml/itemProps1.xml><?xml version="1.0" encoding="utf-8"?>
<ds:datastoreItem xmlns:ds="http://schemas.openxmlformats.org/officeDocument/2006/customXml" ds:itemID="{2F1D007B-81E7-4ABE-8FAF-0520A6CA0260}"/>
</file>

<file path=customXml/itemProps2.xml><?xml version="1.0" encoding="utf-8"?>
<ds:datastoreItem xmlns:ds="http://schemas.openxmlformats.org/officeDocument/2006/customXml" ds:itemID="{684B0B23-E040-4251-9E25-ABA5B608FEDC}"/>
</file>

<file path=customXml/itemProps3.xml><?xml version="1.0" encoding="utf-8"?>
<ds:datastoreItem xmlns:ds="http://schemas.openxmlformats.org/officeDocument/2006/customXml" ds:itemID="{E3991277-AFDE-4E32-A6C7-644E87928F41}"/>
</file>

<file path=customXml/itemProps4.xml><?xml version="1.0" encoding="utf-8"?>
<ds:datastoreItem xmlns:ds="http://schemas.openxmlformats.org/officeDocument/2006/customXml" ds:itemID="{F0E82F02-0CD6-43B7-951A-E19836EF39BC}"/>
</file>

<file path=customXml/itemProps5.xml><?xml version="1.0" encoding="utf-8"?>
<ds:datastoreItem xmlns:ds="http://schemas.openxmlformats.org/officeDocument/2006/customXml" ds:itemID="{1BF2F53B-432F-472E-976E-D577C10F215C}"/>
</file>

<file path=docProps/app.xml><?xml version="1.0" encoding="utf-8"?>
<Properties xmlns="http://schemas.openxmlformats.org/officeDocument/2006/extended-properties" xmlns:vt="http://schemas.openxmlformats.org/officeDocument/2006/docPropsVTypes">
  <Template>Normal</Template>
  <TotalTime>18</TotalTime>
  <Pages>4</Pages>
  <Words>1565</Words>
  <Characters>8610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Endesa</Company>
  <LinksUpToDate>false</LinksUpToDate>
  <CharactersWithSpaces>10155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FUA</dc:creator>
  <cp:lastModifiedBy>URQUIZA AMBRINOS, FERNANDO</cp:lastModifiedBy>
  <cp:revision>3</cp:revision>
  <cp:lastPrinted>2013-09-30T10:17:00Z</cp:lastPrinted>
  <dcterms:created xsi:type="dcterms:W3CDTF">2013-09-30T10:22:00Z</dcterms:created>
  <dcterms:modified xsi:type="dcterms:W3CDTF">2013-09-30T10:40:00Z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0x0101007D3D509BEFE41E48AF885BAE592BE52E</vt:lpwstr>
  </property>
  <property fmtid="{D5CDD505-2E9C-101B-9397-08002B2CF9AE}" pid="4" name="_dlc_DocIdItemGuid">
    <vt:lpwstr>5ad87617-aa6c-4d01-9eb2-6632946ae220</vt:lpwstr>
  </property>
</Properties>
</file>